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 w:line="280" w:lineRule="atLeast"/>
        <w:ind w:firstLine="567"/>
        <w:jc w:val="center"/>
      </w:pPr>
      <w:sdt>
        <w:sdtPr>
          <w:alias w:val="Решение"/>
          <w:tag w:val="Решение"/>
          <w:id w:val="1782420390"/>
          <w:placeholder>
            <w:docPart w:val="DefaultPlaceholder_22675703"/>
          </w:placeholder>
          <w:showingPlcHdr/>
          <w:text/>
        </w:sdtPr>
        <w:sdtContent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highlight w:val="none"/>
            </w:rPr>
            <w:t>РЕШЕНИЕ</w:t>
          </w:r>
        </w:sdtContent>
      </w:sdt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 xml:space="preserve"> </w:t>
      </w:r>
    </w:p>
    <w:p>
      <w:pPr>
        <w:spacing w:before="0" w:after="0" w:line="280" w:lineRule="atLeast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ИМЕНЕМ РОССИЙСКОЙ ФЕДЕРАЦИИ</w:t>
      </w:r>
    </w:p>
    <w:p>
      <w:pPr>
        <w:spacing w:before="0" w:after="0" w:line="280" w:lineRule="atLeast"/>
        <w:ind w:firstLine="567"/>
        <w:jc w:val="center"/>
      </w:pPr>
    </w:p>
    <w:tbl>
      <w:tblPr>
        <w:tblW w:w="9464" w:type="dxa"/>
        <w:tblInd w:w="113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119"/>
        <w:gridCol w:w="1403"/>
        <w:gridCol w:w="3941"/>
      </w:tblGrid>
      <w:tr>
        <w:tblPrEx>
          <w:tblW w:w="9464" w:type="dxa"/>
          <w:tblInd w:w="113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19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ind w:firstLine="567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sdt>
              <w:sdtPr>
                <w:alias w:val="Дата"/>
                <w:tag w:val="Дата"/>
                <w:id w:val="1532762253"/>
                <w:placeholder>
                  <w:docPart w:val="DefaultPlaceholder_22675703"/>
                </w:placeholder>
                <w:showingPlcHdr/>
                <w:text/>
              </w:sdtPr>
              <w:sdtContent>
                <w:r>
                  <w:rPr>
                    <w:rFonts w:ascii="Times New Roman" w:eastAsia="Times New Roman" w:hAnsi="Times New Roman" w:cs="Times New Roman"/>
                    <w:b/>
                    <w:bCs/>
                    <w:i w:val="0"/>
                    <w:iCs w:val="0"/>
                    <w:smallCaps w:val="0"/>
                    <w:color w:val="000000"/>
                    <w:sz w:val="28"/>
                    <w:szCs w:val="28"/>
                    <w:highlight w:val="none"/>
                  </w:rPr>
                  <w:t>28 ноября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 w:val="0"/>
                    <w:iCs w:val="0"/>
                    <w:smallCaps w:val="0"/>
                    <w:color w:val="000000"/>
                    <w:sz w:val="28"/>
                    <w:szCs w:val="28"/>
                    <w:highlight w:val="none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 w:val="0"/>
                    <w:iCs w:val="0"/>
                    <w:smallCaps w:val="0"/>
                    <w:color w:val="000000"/>
                    <w:sz w:val="28"/>
                    <w:szCs w:val="28"/>
                    <w:highlight w:val="none"/>
                  </w:rPr>
                  <w:t>202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 w:val="0"/>
                    <w:iCs w:val="0"/>
                    <w:smallCaps w:val="0"/>
                    <w:color w:val="000000"/>
                    <w:sz w:val="28"/>
                    <w:szCs w:val="28"/>
                    <w:highlight w:val="none"/>
                  </w:rPr>
                  <w:t>2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 w:val="0"/>
                    <w:iCs w:val="0"/>
                    <w:smallCaps w:val="0"/>
                    <w:color w:val="000000"/>
                    <w:sz w:val="28"/>
                    <w:szCs w:val="28"/>
                    <w:highlight w:val="none"/>
                  </w:rPr>
                  <w:t xml:space="preserve"> года</w:t>
                </w:r>
              </w:sdtContent>
            </w:sdt>
          </w:p>
        </w:tc>
        <w:tc>
          <w:tcPr>
            <w:tcW w:w="1276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ind w:firstLine="567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W w:w="3969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ind w:firstLine="567"/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Style w:val="cat-Addressgrp-0rplc-0"/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адрес</w:t>
            </w:r>
          </w:p>
        </w:tc>
      </w:tr>
    </w:tbl>
    <w:p>
      <w:pPr>
        <w:spacing w:before="0" w:after="0"/>
        <w:ind w:firstLine="567"/>
        <w:jc w:val="both"/>
        <w:rPr>
          <w:sz w:val="28"/>
          <w:szCs w:val="28"/>
        </w:rPr>
      </w:pP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Щербинский районный суд </w:t>
      </w:r>
      <w:r>
        <w:rPr>
          <w:rStyle w:val="cat-Addressgrp-1rplc-1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составе председательствующего судьи </w:t>
      </w:r>
      <w:r>
        <w:rPr>
          <w:rStyle w:val="cat-FIOgrp-3rplc-2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</w:p>
    <w:p>
      <w:pPr>
        <w:spacing w:before="0" w:after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при секретаре </w:t>
      </w:r>
      <w:r>
        <w:rPr>
          <w:rStyle w:val="cat-FIOgrp-4rplc-3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</w:p>
    <w:p>
      <w:pPr>
        <w:spacing w:before="0" w:after="0" w:line="280" w:lineRule="atLeast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рассмотрев в открытом судебном заседании гражданское дело № </w:t>
      </w:r>
      <w:sdt>
        <w:sdtPr>
          <w:alias w:val="№ дела"/>
          <w:tag w:val="№ дела"/>
          <w:id w:val="1019839451"/>
          <w:placeholder>
            <w:docPart w:val="DefaultPlaceholder_22675703"/>
          </w:placeholder>
          <w:showingPlcHdr/>
          <w:text/>
        </w:sdtPr>
        <w:sdtContent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>2-</w:t>
          </w:r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>21578</w:t>
          </w:r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>/202</w:t>
          </w:r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>2</w:t>
          </w:r>
        </w:sdtContent>
      </w:sdt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sdt>
        <w:sdtPr>
          <w:alias w:val="Суть"/>
          <w:tag w:val="Суть"/>
          <w:id w:val="2125456763"/>
          <w:placeholder>
            <w:docPart w:val="DefaultPlaceholder_22675703"/>
          </w:placeholder>
          <w:showingPlcHdr/>
          <w:text/>
        </w:sdtPr>
        <w:sdtContent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 xml:space="preserve">по исковому заявлению </w:t>
          </w:r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>П</w:t>
          </w:r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>АО</w:t>
          </w:r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 xml:space="preserve"> Сбербанк в лице </w:t>
          </w:r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>ф</w:t>
          </w:r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>илиала Московский банк ПАО Сбербанк</w:t>
          </w:r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 xml:space="preserve"> к </w:t>
          </w:r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>Птичкину Георгию Николаевичу</w:t>
          </w:r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>о</w:t>
          </w:r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 xml:space="preserve"> расторжении и </w:t>
          </w:r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>взыскании задолженности по кредитному договору</w:t>
          </w:r>
        </w:sdtContent>
      </w:sdt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УСТАНОВИЛ:</w:t>
      </w:r>
    </w:p>
    <w:p>
      <w:pPr>
        <w:spacing w:before="0" w:after="0" w:line="280" w:lineRule="atLeast"/>
        <w:ind w:firstLine="567"/>
        <w:jc w:val="center"/>
      </w:pP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Истец обратился в суд к ответчику с настоящим исковым заявлением, в обоснование исковых требований указал следующее.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9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.20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года между истцом и ответчиком заключен кредитный договор №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9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3487918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согласно которому истец предоставил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ответчику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денежные средства в размере </w:t>
      </w:r>
      <w:r>
        <w:rPr>
          <w:rStyle w:val="cat-Sumgrp-12rplc-5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сроком на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60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месяц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ев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под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,9% годовых, а ответчик обязался погашать основой долг и проценты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за пользование кредитом ежемесячными платежами в размерах и в сроки, установленные условиями договора и графиком платежей,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а также в случае образования неустойку (штраф, пени).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Ответчик не в полной мере выполняет взятые на себя обязательства по кредитному договору, в связи с чем,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по состоянию на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09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.202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у него образовалась задолженность в размере </w:t>
      </w:r>
      <w:r>
        <w:rPr>
          <w:rStyle w:val="cat-Sumgrp-13rplc-6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которая состоит из основного долга в размере </w:t>
      </w:r>
      <w:r>
        <w:rPr>
          <w:rStyle w:val="cat-Sumgrp-14rplc-7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просроченных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процентов в размере </w:t>
      </w:r>
      <w:r>
        <w:rPr>
          <w:rStyle w:val="cat-Sumgrp-15rplc-8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Истец обращался с заявлением о вынесении судебного приказа, 12.11.2021 года вынесен судебный приказ, определением от 16.02.2022 года отменен.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Истец, считая свои права как кредитора нарушенными,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расторгнуть договор,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взыскать с ответчика образовавшуюся задолженность, а также расходы по оплате госпошлины.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Истец в судебное заседание не явился, извещен надлежащим образом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просил слушать дело в его отсутствии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Ответчик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Птичкин Г.Н.,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судебное заседание явился.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Представитель ответчика, </w:t>
      </w:r>
      <w:r>
        <w:rPr>
          <w:rStyle w:val="cat-FIOgrp-7rplc-10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в судебное заседание явился, просил в иске отказать.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Учитывая, что реализация участниками гражданского оборота своих прав не должна нарушать права и охраняемые законом интересы других лиц, суд полагает возможным рассмотреть настоящее дело при данной явке сторон.</w:t>
      </w:r>
    </w:p>
    <w:p>
      <w:pPr>
        <w:spacing w:before="0" w:after="0" w:line="315" w:lineRule="atLeast"/>
        <w:ind w:firstLine="540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Суд, исследовав материалы дела, оценив представленные доказательства в их совокупности, с учетом требований ст. 67 ГПК, приходит к следующему выводу.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</w:p>
    <w:p>
      <w:pPr>
        <w:spacing w:before="0" w:after="0" w:line="315" w:lineRule="atLeast"/>
        <w:ind w:firstLine="540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ст.432 ГК РФ договор считается заключенным, если между сторонами, в требуемой в подлежащих случаях форме, достигнуто соглашение по всем существенным условиям договора.</w:t>
      </w:r>
    </w:p>
    <w:p>
      <w:pPr>
        <w:spacing w:before="0" w:after="0" w:line="315" w:lineRule="atLeast"/>
        <w:ind w:firstLine="540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Существенными являются условия о предмете договора, условия, которые названы в законе или иных правовых актах как существенные или необходимые для договоров данного вида, а также все те условия, относительно которых по заявлению одной из сторон должно быть достигнуто соглашение.</w:t>
      </w:r>
    </w:p>
    <w:p>
      <w:pPr>
        <w:spacing w:before="0" w:after="0" w:line="315" w:lineRule="atLeast"/>
        <w:ind w:firstLine="540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Сторона, принявшая от другой стороны полное или частичное исполнение по договору либо иным образом подтвердившая действие договора, не вправе требовать признания этого договора незаключенным, если заявление такого требования с учетом конкретных обстоятельств будет противоречить принципу добросовестности.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ст. 810 ГК РФ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ст. ст. 309, 310 ГК РФ обязательства должны исполняться надлежащим образом в соответствии с условиями обязательства и требованиями закона, иных правовых актов. Односторонний отказ от исполнения обязательства и одностороннее изменение его условий не допускаются.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ст.330 ГК РФ, 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ст. 811 ГК РФ, в случае нарушения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процентами за пользование займом, причитающимися на момент его возврата.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ст. 450 ГК РФ по требованию одной из сторон договор может быть изменен или расторгнут по решению суда при существенном нарушении договора другой стороной.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Судом установлено и следует из материалов дела следующее.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29.01.2020 года между истцом и ответчиком заключен кредитный договор № 93487918, согласно которому истец предоставил ответчику денежные средства в размере </w:t>
      </w:r>
      <w:r>
        <w:rPr>
          <w:rStyle w:val="cat-Sumgrp-12rplc-11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сроком на 60 месяцев под 16,9% годовых, а ответчик обязался погашать основой долг и проценты за пользование кредитом ежемесячными платежами в размерах и в сроки,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установленные условиями договора и графиком платежей, а также в случае образования неустойку (штраф, пени).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Истец обращался с заявлением о вынесении судебного приказа, 12.11.2021 года по делу № 2-1730/10/2021 вынесен судебный приказ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(л.д.36)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определением от 16.02.2022 года мировым судьей судебного участка № 11 </w:t>
      </w:r>
      <w:r>
        <w:rPr>
          <w:rStyle w:val="cat-Addressgrp-2rplc-12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судебный приказ отменен в связи с возражениями ответчика (л.д.26)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Истцом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адрес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ответчика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направлено требование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 возврате кредита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установлен срок возврата кредита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(л.д.29-32)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однако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ответчиком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указанное требование исполнено не было.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ходе судебного заседания установлено, что Измайловским отделом ЗАГС Управления ЗАГС </w:t>
      </w:r>
      <w:r>
        <w:rPr>
          <w:rStyle w:val="cat-Addressgrp-2rplc-13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выдано свидетельство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IX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-МЮ № 611112 от 22.12.2020 года (повторное) о смерти Птичкина Георгия Николаевича, </w:t>
      </w:r>
      <w:r>
        <w:rPr>
          <w:rStyle w:val="cat-PassportDatagrp-19rplc-15"/>
          <w:rFonts w:ascii="Times New Roman" w:eastAsia="Times New Roman" w:hAnsi="Times New Roman" w:cs="Times New Roman"/>
          <w:sz w:val="28"/>
          <w:szCs w:val="28"/>
          <w:highlight w:val="none"/>
        </w:rPr>
        <w:t>паспортные данные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за актовой записью № 170209775005800028006 от 11.01.2020 года, из которого следует, что указанный гражданин умер 15.12.2019 года.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08.12.2021 года решением Зюзинского районного суда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Addressgrp-2rplc-16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сведения о Птичкине Георгии Николаевиче из записи о смерти № 170209775005800028006 от 11.01.2020 года по Органу ЗАГС </w:t>
      </w:r>
      <w:r>
        <w:rPr>
          <w:rStyle w:val="cat-Addressgrp-2rplc-18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исключить.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Представитель ответчика пояснил, что ответчик является инвалидом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III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группы, утратил возможность к самообслуживанию и передвижению, после объявления умершим ответчик не мог оплачивать кредитную задолженность.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Представителем ответчика в материалы дела представлены документы о наличии задолженностей по нескольким кредит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ным обязательствам на имя ответчика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 Согласно спр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вке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Сбербанка России от 11.10.2022 года полная задолженность по кредиту № 93487918 от 29.01.2020 года составляет </w:t>
      </w:r>
      <w:r>
        <w:rPr>
          <w:rStyle w:val="cat-Sumgrp-16rplc-19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Ответчиком в период рассмотрения дела была погашена задолженность по договору № 93487918 от 29.01.2020 года в размере </w:t>
      </w:r>
      <w:r>
        <w:rPr>
          <w:rStyle w:val="cat-Sumgrp-17rplc-20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согласно справке Сбербанка России от 12.09.2022 года.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 учетом изложенного, суд приходит к выводу о том, что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поскольку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ответчик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допустил значительную просрочку платежей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 кредитному договору, что является основанием для предъявления требований 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стцом по возврату суммы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задолженности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то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данные обстоятельства являются существенными нарушениями условий договора,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факт признания ответчика умершим не влияет на отношения с кредитной организацией,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связи с этим суд приходит к выводу,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что договор должен быть расторгнут,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образовавшаяся задолженность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подлежит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взысканию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 ответчика.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Однако, исходя из вышеизложенного, решение суда в части образовавшейся задолженности, суд полагает в исполнение не приводить.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Как указано в ч. 1 ст. 88 ГПК РФ, судебные расходы состоят из государственной пошлины и издержек, связанных с рассмотрением дела. По смыслу ч. 1 ст. 98 ГПК РФ стороне, в пользу которой состоялось решение суда, суд присуждает возместить с другой стороны все понесенные по делу судебные расходы.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Поскольку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иск удовлетворен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полном объеме, судебные расходы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состоящие из расходов по оплате госпошлины в размере </w:t>
      </w:r>
      <w:r>
        <w:rPr>
          <w:rStyle w:val="cat-Sumgrp-18rplc-21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подлежат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взысканию с ответчика.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На основании вышеизложенного, руководствуясь ст. ст. 194-199 ГПК РФ, суд</w:t>
      </w: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РЕШИЛ:</w:t>
      </w:r>
    </w:p>
    <w:p>
      <w:pPr>
        <w:spacing w:before="0" w:after="0" w:line="280" w:lineRule="atLeast"/>
        <w:ind w:firstLine="567"/>
        <w:jc w:val="center"/>
      </w:pP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Исковые требования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ПАО Сбербанк в лице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ф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илиала Московский банк ПАО Сбербанк к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sdt>
        <w:sdtPr>
          <w:alias w:val="Суть"/>
          <w:tag w:val="Суть"/>
          <w:id w:val="113063113"/>
          <w:placeholder>
            <w:docPart w:val="DefaultPlaceholder_22675703"/>
          </w:placeholder>
          <w:showingPlcHdr/>
          <w:text/>
        </w:sdtPr>
        <w:sdtContent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>Птичкину Георгию Николаевичу о расторжении и взыскании задолженности по кредитному договору</w:t>
          </w:r>
        </w:sdtContent>
      </w:sdt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- удовлетворить.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Договор №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93487918 от 29.01.2020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года, заключенный между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ПАО Сбербанк в лице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ф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илиала Московский банк ПАО Сбербанк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Птичкиным Георгием Николаевичем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- расторгнуть.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Взыскать 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Птичкина Георгия Николаевича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(</w:t>
      </w:r>
      <w:r>
        <w:rPr>
          <w:rStyle w:val="cat-PassportDatagrp-20rplc-25"/>
          <w:rFonts w:ascii="Times New Roman" w:eastAsia="Times New Roman" w:hAnsi="Times New Roman" w:cs="Times New Roman"/>
          <w:sz w:val="28"/>
          <w:szCs w:val="28"/>
          <w:highlight w:val="none"/>
        </w:rPr>
        <w:t>паспортные данные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пользу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ПАО Сбербанк в лице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ф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илиала Московский банк ПАО Сбербанк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(ОГРН: 1027700132195, ИНН: 7707083893)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задолженность по кредитному договору №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93487918 от 29.01.2020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года в размере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Sumgrp-13rplc-26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а также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расходы по оплате госпошлины в размере </w:t>
      </w:r>
      <w:r>
        <w:rPr>
          <w:rStyle w:val="cat-Sumgrp-18rplc-27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Решение в части взыскания задолженности в размере </w:t>
      </w:r>
      <w:r>
        <w:rPr>
          <w:rStyle w:val="cat-Sumgrp-13rplc-28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исполнение не приводить.</w:t>
      </w:r>
    </w:p>
    <w:sdt>
      <w:sdtPr>
        <w:alias w:val="Обжалование"/>
        <w:tag w:val="Обжалование"/>
        <w:id w:val="1660617579"/>
        <w:placeholder>
          <w:docPart w:val="DefaultPlaceholder_22675703"/>
        </w:placeholder>
        <w:showingPlcHdr/>
        <w:richText/>
      </w:sdtPr>
      <w:sdtContent>
        <w:p>
          <w:pPr>
            <w:spacing w:before="0" w:after="0"/>
            <w:ind w:firstLine="567"/>
            <w:jc w:val="both"/>
            <w:rPr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 xml:space="preserve">Решение может быть обжаловано в Московский городской суд в течение месяца со дня принятия судом решения через Щербинский районный суд </w:t>
          </w:r>
          <w:r>
            <w:rPr>
              <w:rStyle w:val="cat-Addressgrp-1rplc-29"/>
              <w:rFonts w:ascii="Times New Roman" w:eastAsia="Times New Roman" w:hAnsi="Times New Roman" w:cs="Times New Roman"/>
              <w:sz w:val="28"/>
              <w:szCs w:val="28"/>
              <w:highlight w:val="none"/>
            </w:rPr>
            <w:t>адрес</w:t>
          </w:r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>.</w:t>
          </w:r>
        </w:p>
      </w:sdtContent>
    </w:sdt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tbl>
      <w:tblPr>
        <w:tblInd w:w="113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173"/>
        <w:gridCol w:w="3063"/>
        <w:gridCol w:w="3237"/>
      </w:tblGrid>
      <w:tr>
        <w:tblPrEx>
          <w:tblInd w:w="113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8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ind w:firstLine="567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Судья</w:t>
            </w:r>
          </w:p>
        </w:tc>
        <w:tc>
          <w:tcPr>
            <w:tcW w:w="3144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ind w:firstLine="567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W w:w="3229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ind w:firstLine="567"/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А.А. Кузнецов</w:t>
            </w:r>
          </w:p>
        </w:tc>
      </w:tr>
    </w:tbl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Мотивированное решение изготовлено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28 ноября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202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 w:line="240" w:lineRule="atLeast"/>
        <w:ind w:firstLine="567"/>
        <w:jc w:val="both"/>
      </w:pPr>
    </w:p>
    <w:p>
      <w:pPr>
        <w:spacing w:before="0" w:after="0" w:line="240" w:lineRule="atLeast"/>
        <w:ind w:firstLine="567"/>
        <w:jc w:val="both"/>
      </w:pPr>
    </w:p>
    <w:p>
      <w:pPr>
        <w:spacing w:before="0" w:after="0" w:line="240" w:lineRule="atLeast"/>
        <w:ind w:firstLine="567"/>
        <w:jc w:val="both"/>
      </w:pPr>
    </w:p>
    <w:p>
      <w:pPr>
        <w:spacing w:before="0" w:after="0" w:line="240" w:lineRule="atLeast"/>
        <w:ind w:firstLine="567"/>
        <w:jc w:val="both"/>
      </w:pPr>
    </w:p>
    <w:p>
      <w:pPr>
        <w:spacing w:before="0" w:after="0" w:line="240" w:lineRule="atLeast"/>
        <w:ind w:firstLine="567"/>
        <w:jc w:val="both"/>
      </w:pPr>
    </w:p>
    <w:p>
      <w:pPr>
        <w:spacing w:before="0" w:after="0" w:line="240" w:lineRule="atLeast"/>
        <w:ind w:firstLine="567"/>
        <w:jc w:val="both"/>
      </w:pPr>
    </w:p>
    <w:p>
      <w:pPr>
        <w:spacing w:before="0" w:after="0" w:line="240" w:lineRule="atLeast"/>
        <w:ind w:firstLine="567"/>
        <w:jc w:val="both"/>
      </w:pPr>
    </w:p>
    <w:p>
      <w:pPr>
        <w:spacing w:before="0" w:after="0" w:line="240" w:lineRule="atLeast"/>
        <w:ind w:firstLine="567"/>
        <w:jc w:val="both"/>
      </w:pPr>
    </w:p>
    <w:p>
      <w:pPr>
        <w:spacing w:before="0" w:after="0" w:line="240" w:lineRule="atLeast"/>
        <w:ind w:firstLine="567"/>
        <w:jc w:val="both"/>
      </w:pPr>
    </w:p>
    <w:p>
      <w:pPr>
        <w:spacing w:before="0" w:after="0" w:line="240" w:lineRule="atLeast"/>
        <w:ind w:firstLine="567"/>
        <w:jc w:val="both"/>
      </w:pPr>
    </w:p>
    <w:p>
      <w:pPr>
        <w:spacing w:before="0" w:after="0" w:line="240" w:lineRule="atLeast"/>
        <w:ind w:firstLine="567"/>
        <w:jc w:val="both"/>
      </w:pPr>
    </w:p>
    <w:p>
      <w:pPr>
        <w:spacing w:before="0" w:after="0" w:line="240" w:lineRule="atLeast"/>
        <w:ind w:firstLine="567"/>
        <w:jc w:val="both"/>
      </w:pPr>
    </w:p>
    <w:p>
      <w:pPr>
        <w:spacing w:before="0" w:after="0" w:line="240" w:lineRule="atLeast"/>
        <w:ind w:firstLine="567"/>
        <w:jc w:val="both"/>
      </w:pPr>
    </w:p>
    <w:p>
      <w:pPr>
        <w:spacing w:before="0" w:after="0" w:line="240" w:lineRule="atLeast"/>
        <w:ind w:firstLine="567"/>
        <w:jc w:val="both"/>
      </w:pPr>
    </w:p>
    <w:p>
      <w:pPr>
        <w:spacing w:before="0" w:after="0" w:line="240" w:lineRule="atLeast"/>
        <w:ind w:firstLine="567"/>
        <w:jc w:val="both"/>
      </w:pPr>
    </w:p>
    <w:p>
      <w:pPr>
        <w:spacing w:before="0" w:after="0" w:line="240" w:lineRule="atLeast"/>
        <w:ind w:firstLine="567"/>
        <w:jc w:val="both"/>
      </w:pPr>
    </w:p>
    <w:p>
      <w:pPr>
        <w:spacing w:before="0" w:after="0" w:line="240" w:lineRule="atLeast"/>
        <w:ind w:firstLine="567"/>
        <w:jc w:val="both"/>
      </w:pPr>
    </w:p>
    <w:p>
      <w:pPr>
        <w:spacing w:before="0" w:after="0" w:line="280" w:lineRule="atLeast"/>
        <w:ind w:firstLine="567"/>
        <w:jc w:val="center"/>
      </w:pPr>
      <w:sdt>
        <w:sdtPr>
          <w:alias w:val="Решение"/>
          <w:tag w:val="Решение"/>
          <w:id w:val="2107911309"/>
          <w:placeholder>
            <w:docPart w:val="DefaultPlaceholder_22675703"/>
          </w:placeholder>
          <w:showingPlcHdr/>
          <w:text/>
        </w:sdtPr>
        <w:sdtContent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highlight w:val="none"/>
            </w:rPr>
            <w:t>РЕШЕНИЕ</w:t>
          </w:r>
        </w:sdtContent>
      </w:sdt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 xml:space="preserve"> </w:t>
      </w:r>
    </w:p>
    <w:p>
      <w:pPr>
        <w:spacing w:before="0" w:after="0" w:line="280" w:lineRule="atLeast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ИМЕНЕМ РОССИЙСКОЙ ФЕДЕРАЦИИ</w:t>
      </w:r>
    </w:p>
    <w:p>
      <w:pPr>
        <w:spacing w:before="0" w:after="0" w:line="280" w:lineRule="atLeast"/>
        <w:ind w:firstLine="567"/>
        <w:jc w:val="center"/>
      </w:pPr>
    </w:p>
    <w:tbl>
      <w:tblPr>
        <w:tblW w:w="9464" w:type="dxa"/>
        <w:tblInd w:w="113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119"/>
        <w:gridCol w:w="1403"/>
        <w:gridCol w:w="3941"/>
      </w:tblGrid>
      <w:tr>
        <w:tblPrEx>
          <w:tblW w:w="9464" w:type="dxa"/>
          <w:tblInd w:w="113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19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ind w:firstLine="567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sdt>
              <w:sdtPr>
                <w:alias w:val="Дата"/>
                <w:tag w:val="Дата"/>
                <w:id w:val="830134226"/>
                <w:placeholder>
                  <w:docPart w:val="DefaultPlaceholder_22675703"/>
                </w:placeholder>
                <w:showingPlcHdr/>
                <w:text/>
              </w:sdtPr>
              <w:sdtContent>
                <w:r>
                  <w:rPr>
                    <w:rFonts w:ascii="Times New Roman" w:eastAsia="Times New Roman" w:hAnsi="Times New Roman" w:cs="Times New Roman"/>
                    <w:b/>
                    <w:bCs/>
                    <w:i w:val="0"/>
                    <w:iCs w:val="0"/>
                    <w:smallCaps w:val="0"/>
                    <w:color w:val="000000"/>
                    <w:sz w:val="28"/>
                    <w:szCs w:val="28"/>
                    <w:highlight w:val="none"/>
                  </w:rPr>
                  <w:t>28 ноября 2022 года</w:t>
                </w:r>
              </w:sdtContent>
            </w:sdt>
          </w:p>
        </w:tc>
        <w:tc>
          <w:tcPr>
            <w:tcW w:w="1276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ind w:firstLine="567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W w:w="3969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ind w:firstLine="567"/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Style w:val="cat-Addressgrp-0rplc-31"/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адрес</w:t>
            </w:r>
          </w:p>
        </w:tc>
      </w:tr>
    </w:tbl>
    <w:p>
      <w:pPr>
        <w:spacing w:before="0" w:after="0"/>
        <w:ind w:firstLine="567"/>
        <w:jc w:val="both"/>
        <w:rPr>
          <w:sz w:val="28"/>
          <w:szCs w:val="28"/>
        </w:rPr>
      </w:pP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Щербинский районный суд </w:t>
      </w:r>
      <w:r>
        <w:rPr>
          <w:rStyle w:val="cat-Addressgrp-1rplc-32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составе председательствующего судьи </w:t>
      </w:r>
      <w:r>
        <w:rPr>
          <w:rStyle w:val="cat-FIOgrp-3rplc-33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</w:p>
    <w:p>
      <w:pPr>
        <w:spacing w:before="0" w:after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при секретаре </w:t>
      </w:r>
      <w:r>
        <w:rPr>
          <w:rStyle w:val="cat-FIOgrp-4rplc-34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</w:p>
    <w:p>
      <w:pPr>
        <w:spacing w:before="0" w:after="0" w:line="280" w:lineRule="atLeast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рассмотрев в открытом судебном заседании гражданское дело № </w:t>
      </w:r>
      <w:sdt>
        <w:sdtPr>
          <w:alias w:val="№ дела"/>
          <w:tag w:val="№ дела"/>
          <w:id w:val="631107264"/>
          <w:placeholder>
            <w:docPart w:val="DefaultPlaceholder_22675703"/>
          </w:placeholder>
          <w:showingPlcHdr/>
          <w:text/>
        </w:sdtPr>
        <w:sdtContent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>2-21578/2022</w:t>
          </w:r>
        </w:sdtContent>
      </w:sdt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sdt>
        <w:sdtPr>
          <w:alias w:val="Суть"/>
          <w:tag w:val="Суть"/>
          <w:id w:val="1626739833"/>
          <w:placeholder>
            <w:docPart w:val="DefaultPlaceholder_22675703"/>
          </w:placeholder>
          <w:showingPlcHdr/>
          <w:text/>
        </w:sdtPr>
        <w:sdtContent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>по исковому заявлению ПАО Сбербанк в лице филиала Московский банк ПАО Сбербанк к Птичкину Георгию Николаевичу о расторжении и взыскании задолженности по кредитному договору</w:t>
          </w:r>
        </w:sdtContent>
      </w:sdt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руководствуясь ст.199 ГПК РФ,</w:t>
      </w:r>
    </w:p>
    <w:p>
      <w:pPr>
        <w:spacing w:before="0" w:after="0" w:line="240" w:lineRule="atLeast"/>
        <w:ind w:firstLine="567"/>
        <w:jc w:val="both"/>
      </w:pPr>
    </w:p>
    <w:p>
      <w:pPr>
        <w:spacing w:before="0" w:after="0" w:line="280" w:lineRule="atLeast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РЕШИЛ:</w:t>
      </w:r>
    </w:p>
    <w:p>
      <w:pPr>
        <w:spacing w:before="0" w:after="0" w:line="280" w:lineRule="atLeast"/>
        <w:ind w:firstLine="567"/>
        <w:jc w:val="center"/>
      </w:pP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Исковые требования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ПАО Сбербанк в лице филиала Московский банк ПАО Сбербанк 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sdt>
        <w:sdtPr>
          <w:alias w:val="Суть"/>
          <w:tag w:val="Суть"/>
          <w:id w:val="609038268"/>
          <w:placeholder>
            <w:docPart w:val="DefaultPlaceholder_22675703"/>
          </w:placeholder>
          <w:showingPlcHdr/>
          <w:text/>
        </w:sdtPr>
        <w:sdtContent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>Птичкину Георгию Николаевичу о расторжении и взыскании задолженности по кредитному договору</w:t>
          </w:r>
        </w:sdtContent>
      </w:sdt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- удовлетворить.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Договор № 93487918 от 29.01.2020 года, заключенный между ПАО Сбербанк в лице филиала Московский банк ПАО Сбербанк и Птичкиным Георгием Николаевичем, - расторгнуть.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Взыскать с Птичкина Георгия Николаевича (</w:t>
      </w:r>
      <w:r>
        <w:rPr>
          <w:rStyle w:val="cat-PassportDatagrp-20rplc-39"/>
          <w:rFonts w:ascii="Times New Roman" w:eastAsia="Times New Roman" w:hAnsi="Times New Roman" w:cs="Times New Roman"/>
          <w:sz w:val="28"/>
          <w:szCs w:val="28"/>
          <w:highlight w:val="none"/>
        </w:rPr>
        <w:t>паспортные данные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) в пользу ПАО Сбербанк в лице филиала Московский банк ПАО Сбербанк (ОГРН: 1027700132195, ИНН: 7707083893)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задолженность по кредитному договору № 93487918 от 29.01.2020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года в размере </w:t>
      </w:r>
      <w:r>
        <w:rPr>
          <w:rStyle w:val="cat-Sumgrp-13rplc-40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а также расходы по оплате госпошлины в размере </w:t>
      </w:r>
      <w:r>
        <w:rPr>
          <w:rStyle w:val="cat-Sumgrp-18rplc-41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Решение в части взыскания задолженности в размере </w:t>
      </w:r>
      <w:r>
        <w:rPr>
          <w:rStyle w:val="cat-Sumgrp-13rplc-42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исполнение не приводить.</w:t>
      </w:r>
    </w:p>
    <w:sdt>
      <w:sdtPr>
        <w:alias w:val="Обжалование"/>
        <w:tag w:val="Обжалование"/>
        <w:id w:val="451174379"/>
        <w:placeholder>
          <w:docPart w:val="DefaultPlaceholder_22675703"/>
        </w:placeholder>
        <w:showingPlcHdr/>
        <w:richText/>
      </w:sdtPr>
      <w:sdtContent>
        <w:p>
          <w:pPr>
            <w:spacing w:before="0" w:after="0"/>
            <w:ind w:firstLine="567"/>
            <w:jc w:val="both"/>
            <w:rPr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 xml:space="preserve">Решение может быть обжаловано в Московский городской суд в течение месяца со дня принятия судом решения через Щербинский районный суд </w:t>
          </w:r>
          <w:r>
            <w:rPr>
              <w:rStyle w:val="cat-Addressgrp-1rplc-43"/>
              <w:rFonts w:ascii="Times New Roman" w:eastAsia="Times New Roman" w:hAnsi="Times New Roman" w:cs="Times New Roman"/>
              <w:sz w:val="28"/>
              <w:szCs w:val="28"/>
              <w:highlight w:val="none"/>
            </w:rPr>
            <w:t>адрес</w:t>
          </w:r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>.</w:t>
          </w:r>
        </w:p>
      </w:sdtContent>
    </w:sdt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tbl>
      <w:tblPr>
        <w:tblInd w:w="113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173"/>
        <w:gridCol w:w="3063"/>
        <w:gridCol w:w="3237"/>
      </w:tblGrid>
      <w:tr>
        <w:tblPrEx>
          <w:tblInd w:w="113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8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ind w:firstLine="567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Судья</w:t>
            </w:r>
          </w:p>
        </w:tc>
        <w:tc>
          <w:tcPr>
            <w:tcW w:w="3144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ind w:firstLine="567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W w:w="3229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ind w:firstLine="567"/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А.А. Кузнецов</w:t>
            </w:r>
          </w:p>
        </w:tc>
      </w:tr>
    </w:tbl>
    <w:p>
      <w:pPr>
        <w:spacing w:before="0" w:after="0" w:line="240" w:lineRule="atLeast"/>
        <w:ind w:firstLine="567"/>
        <w:jc w:val="both"/>
      </w:pPr>
    </w:p>
    <w:p>
      <w:pPr>
        <w:spacing w:before="0" w:after="0" w:line="240" w:lineRule="atLeast"/>
        <w:ind w:firstLine="567"/>
        <w:jc w:val="both"/>
      </w:pPr>
    </w:p>
    <w:p>
      <w:pPr>
        <w:spacing w:before="0" w:after="0" w:line="240" w:lineRule="atLeast"/>
        <w:ind w:firstLine="567"/>
        <w:jc w:val="both"/>
      </w:pPr>
    </w:p>
    <w:sectPr>
      <w:headerReference w:type="default" r:id="rId4"/>
      <w:footerReference w:type="default" r:id="rId5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  <w:jc w:val="center"/>
    </w:pPr>
  </w:p>
  <w:p>
    <w:pPr>
      <w:spacing w:before="0" w:after="0"/>
      <w:ind w:firstLine="708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cat-Addressgrp-0rplc-0">
    <w:name w:val="cat-Address grp-0 rplc-0"/>
    <w:basedOn w:val="DefaultParagraphFont"/>
  </w:style>
  <w:style w:type="character" w:customStyle="1" w:styleId="cat-Addressgrp-1rplc-1">
    <w:name w:val="cat-Address grp-1 rplc-1"/>
    <w:basedOn w:val="DefaultParagraphFont"/>
  </w:style>
  <w:style w:type="character" w:customStyle="1" w:styleId="cat-FIOgrp-3rplc-2">
    <w:name w:val="cat-FIO grp-3 rplc-2"/>
    <w:basedOn w:val="DefaultParagraphFont"/>
  </w:style>
  <w:style w:type="character" w:customStyle="1" w:styleId="cat-FIOgrp-4rplc-3">
    <w:name w:val="cat-FIO grp-4 rplc-3"/>
    <w:basedOn w:val="DefaultParagraphFont"/>
  </w:style>
  <w:style w:type="character" w:customStyle="1" w:styleId="cat-Sumgrp-12rplc-5">
    <w:name w:val="cat-Sum grp-12 rplc-5"/>
    <w:basedOn w:val="DefaultParagraphFont"/>
  </w:style>
  <w:style w:type="character" w:customStyle="1" w:styleId="cat-Sumgrp-13rplc-6">
    <w:name w:val="cat-Sum grp-13 rplc-6"/>
    <w:basedOn w:val="DefaultParagraphFont"/>
  </w:style>
  <w:style w:type="character" w:customStyle="1" w:styleId="cat-Sumgrp-14rplc-7">
    <w:name w:val="cat-Sum grp-14 rplc-7"/>
    <w:basedOn w:val="DefaultParagraphFont"/>
  </w:style>
  <w:style w:type="character" w:customStyle="1" w:styleId="cat-Sumgrp-15rplc-8">
    <w:name w:val="cat-Sum grp-15 rplc-8"/>
    <w:basedOn w:val="DefaultParagraphFont"/>
  </w:style>
  <w:style w:type="character" w:customStyle="1" w:styleId="cat-FIOgrp-7rplc-10">
    <w:name w:val="cat-FIO grp-7 rplc-10"/>
    <w:basedOn w:val="DefaultParagraphFont"/>
  </w:style>
  <w:style w:type="character" w:customStyle="1" w:styleId="cat-Sumgrp-12rplc-11">
    <w:name w:val="cat-Sum grp-12 rplc-11"/>
    <w:basedOn w:val="DefaultParagraphFont"/>
  </w:style>
  <w:style w:type="character" w:customStyle="1" w:styleId="cat-Addressgrp-2rplc-12">
    <w:name w:val="cat-Address grp-2 rplc-12"/>
    <w:basedOn w:val="DefaultParagraphFont"/>
  </w:style>
  <w:style w:type="character" w:customStyle="1" w:styleId="cat-Addressgrp-2rplc-13">
    <w:name w:val="cat-Address grp-2 rplc-13"/>
    <w:basedOn w:val="DefaultParagraphFont"/>
  </w:style>
  <w:style w:type="character" w:customStyle="1" w:styleId="cat-PassportDatagrp-19rplc-15">
    <w:name w:val="cat-PassportData grp-19 rplc-15"/>
    <w:basedOn w:val="DefaultParagraphFont"/>
  </w:style>
  <w:style w:type="character" w:customStyle="1" w:styleId="cat-Addressgrp-2rplc-16">
    <w:name w:val="cat-Address grp-2 rplc-16"/>
    <w:basedOn w:val="DefaultParagraphFont"/>
  </w:style>
  <w:style w:type="character" w:customStyle="1" w:styleId="cat-Addressgrp-2rplc-18">
    <w:name w:val="cat-Address grp-2 rplc-18"/>
    <w:basedOn w:val="DefaultParagraphFont"/>
  </w:style>
  <w:style w:type="character" w:customStyle="1" w:styleId="cat-Sumgrp-16rplc-19">
    <w:name w:val="cat-Sum grp-16 rplc-19"/>
    <w:basedOn w:val="DefaultParagraphFont"/>
  </w:style>
  <w:style w:type="character" w:customStyle="1" w:styleId="cat-Sumgrp-17rplc-20">
    <w:name w:val="cat-Sum grp-17 rplc-20"/>
    <w:basedOn w:val="DefaultParagraphFont"/>
  </w:style>
  <w:style w:type="character" w:customStyle="1" w:styleId="cat-Sumgrp-18rplc-21">
    <w:name w:val="cat-Sum grp-18 rplc-21"/>
    <w:basedOn w:val="DefaultParagraphFont"/>
  </w:style>
  <w:style w:type="character" w:customStyle="1" w:styleId="cat-PassportDatagrp-20rplc-25">
    <w:name w:val="cat-PassportData grp-20 rplc-25"/>
    <w:basedOn w:val="DefaultParagraphFont"/>
  </w:style>
  <w:style w:type="character" w:customStyle="1" w:styleId="cat-Sumgrp-13rplc-26">
    <w:name w:val="cat-Sum grp-13 rplc-26"/>
    <w:basedOn w:val="DefaultParagraphFont"/>
  </w:style>
  <w:style w:type="character" w:customStyle="1" w:styleId="cat-Sumgrp-18rplc-27">
    <w:name w:val="cat-Sum grp-18 rplc-27"/>
    <w:basedOn w:val="DefaultParagraphFont"/>
  </w:style>
  <w:style w:type="character" w:customStyle="1" w:styleId="cat-Sumgrp-13rplc-28">
    <w:name w:val="cat-Sum grp-13 rplc-28"/>
    <w:basedOn w:val="DefaultParagraphFont"/>
  </w:style>
  <w:style w:type="character" w:customStyle="1" w:styleId="cat-Addressgrp-1rplc-29">
    <w:name w:val="cat-Address grp-1 rplc-29"/>
    <w:basedOn w:val="DefaultParagraphFont"/>
  </w:style>
  <w:style w:type="character" w:customStyle="1" w:styleId="cat-Addressgrp-0rplc-31">
    <w:name w:val="cat-Address grp-0 rplc-31"/>
    <w:basedOn w:val="DefaultParagraphFont"/>
  </w:style>
  <w:style w:type="character" w:customStyle="1" w:styleId="cat-Addressgrp-1rplc-32">
    <w:name w:val="cat-Address grp-1 rplc-32"/>
    <w:basedOn w:val="DefaultParagraphFont"/>
  </w:style>
  <w:style w:type="character" w:customStyle="1" w:styleId="cat-FIOgrp-3rplc-33">
    <w:name w:val="cat-FIO grp-3 rplc-33"/>
    <w:basedOn w:val="DefaultParagraphFont"/>
  </w:style>
  <w:style w:type="character" w:customStyle="1" w:styleId="cat-FIOgrp-4rplc-34">
    <w:name w:val="cat-FIO grp-4 rplc-34"/>
    <w:basedOn w:val="DefaultParagraphFont"/>
  </w:style>
  <w:style w:type="character" w:customStyle="1" w:styleId="cat-PassportDatagrp-20rplc-39">
    <w:name w:val="cat-PassportData grp-20 rplc-39"/>
    <w:basedOn w:val="DefaultParagraphFont"/>
  </w:style>
  <w:style w:type="character" w:customStyle="1" w:styleId="cat-Sumgrp-13rplc-40">
    <w:name w:val="cat-Sum grp-13 rplc-40"/>
    <w:basedOn w:val="DefaultParagraphFont"/>
  </w:style>
  <w:style w:type="character" w:customStyle="1" w:styleId="cat-Sumgrp-18rplc-41">
    <w:name w:val="cat-Sum grp-18 rplc-41"/>
    <w:basedOn w:val="DefaultParagraphFont"/>
  </w:style>
  <w:style w:type="character" w:customStyle="1" w:styleId="cat-Sumgrp-13rplc-42">
    <w:name w:val="cat-Sum grp-13 rplc-42"/>
    <w:basedOn w:val="DefaultParagraphFont"/>
  </w:style>
  <w:style w:type="character" w:customStyle="1" w:styleId="cat-Addressgrp-1rplc-43">
    <w:name w:val="cat-Address grp-1 rplc-43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glossaryDocument" Target="glossary/document.xml" /><Relationship Id="rId7" Type="http://schemas.openxmlformats.org/officeDocument/2006/relationships/styles" Target="styles.xm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BE450-E6B6-4393-9173-3E8CE0A6CCEE}"/>
      </w:docPartPr>
      <w:docPartBody>
        <w:p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/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