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080B97">
      <w:pPr>
        <w:ind w:firstLine="567"/>
        <w:jc w:val="right"/>
        <w:rPr>
          <w:lang w:val="en-BE" w:eastAsia="en-BE" w:bidi="ar-SA"/>
        </w:rPr>
      </w:pPr>
      <w:bookmarkStart w:id="0" w:name="_GoBack"/>
      <w:bookmarkEnd w:id="0"/>
      <w:r>
        <w:rPr>
          <w:lang w:val="en-BE" w:eastAsia="en-BE" w:bidi="ar-SA"/>
        </w:rPr>
        <w:t>УИД 77RS0004-02-2021-001982-97</w:t>
      </w:r>
    </w:p>
    <w:p w:rsidR="00000000" w:rsidRDefault="00080B97">
      <w:pPr>
        <w:ind w:firstLine="567"/>
        <w:jc w:val="center"/>
        <w:rPr>
          <w:lang w:val="en-BE" w:eastAsia="en-BE" w:bidi="ar-SA"/>
        </w:rPr>
      </w:pPr>
    </w:p>
    <w:p w:rsidR="00000000" w:rsidRDefault="00080B97">
      <w:pPr>
        <w:ind w:firstLine="567"/>
        <w:jc w:val="center"/>
        <w:rPr>
          <w:lang w:val="en-BE" w:eastAsia="en-BE" w:bidi="ar-SA"/>
        </w:rPr>
      </w:pPr>
      <w:r>
        <w:rPr>
          <w:b/>
          <w:bCs/>
          <w:lang w:val="en-BE" w:eastAsia="en-BE" w:bidi="ar-SA"/>
        </w:rPr>
        <w:t>РЕШЕНИЕ</w:t>
      </w:r>
    </w:p>
    <w:p w:rsidR="00000000" w:rsidRDefault="00080B97">
      <w:pPr>
        <w:ind w:firstLine="567"/>
        <w:jc w:val="center"/>
        <w:rPr>
          <w:lang w:val="en-BE" w:eastAsia="en-BE" w:bidi="ar-SA"/>
        </w:rPr>
      </w:pPr>
      <w:r>
        <w:rPr>
          <w:b/>
          <w:bCs/>
          <w:lang w:val="en-BE" w:eastAsia="en-BE" w:bidi="ar-SA"/>
        </w:rPr>
        <w:t>Именем Российской Федерации</w:t>
      </w:r>
    </w:p>
    <w:p w:rsidR="00000000" w:rsidRDefault="00080B97">
      <w:pPr>
        <w:ind w:firstLine="567"/>
        <w:jc w:val="both"/>
        <w:rPr>
          <w:lang w:val="en-BE" w:eastAsia="en-BE" w:bidi="ar-SA"/>
        </w:rPr>
      </w:pPr>
    </w:p>
    <w:p w:rsidR="00000000" w:rsidRDefault="00080B97">
      <w:pPr>
        <w:ind w:firstLine="567"/>
        <w:jc w:val="both"/>
        <w:rPr>
          <w:lang w:val="en-BE" w:eastAsia="en-BE" w:bidi="ar-SA"/>
        </w:rPr>
      </w:pPr>
      <w:r>
        <w:rPr>
          <w:rStyle w:val="cat-Addressgrp-0rplc-0"/>
          <w:lang w:val="en-BE" w:eastAsia="en-BE" w:bidi="ar-SA"/>
        </w:rPr>
        <w:t>адрес</w:t>
      </w:r>
      <w:r>
        <w:rPr>
          <w:lang w:val="en-BE" w:eastAsia="en-BE" w:bidi="ar-SA"/>
        </w:rPr>
        <w:t xml:space="preserve"> </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01 июля 2021 года</w:t>
      </w:r>
    </w:p>
    <w:p w:rsidR="00000000" w:rsidRDefault="00080B97">
      <w:pPr>
        <w:ind w:firstLine="567"/>
        <w:jc w:val="both"/>
        <w:rPr>
          <w:lang w:val="en-BE" w:eastAsia="en-BE" w:bidi="ar-SA"/>
        </w:rPr>
      </w:pPr>
    </w:p>
    <w:p w:rsidR="00000000" w:rsidRDefault="00080B97">
      <w:pPr>
        <w:ind w:firstLine="567"/>
        <w:jc w:val="both"/>
        <w:rPr>
          <w:lang w:val="en-BE" w:eastAsia="en-BE" w:bidi="ar-SA"/>
        </w:rPr>
      </w:pPr>
      <w:r>
        <w:rPr>
          <w:lang w:val="en-BE" w:eastAsia="en-BE" w:bidi="ar-SA"/>
        </w:rPr>
        <w:t xml:space="preserve">Гагаринский районный суд </w:t>
      </w:r>
      <w:r>
        <w:rPr>
          <w:rStyle w:val="cat-Addressgrp-1rplc-1"/>
          <w:lang w:val="en-BE" w:eastAsia="en-BE" w:bidi="ar-SA"/>
        </w:rPr>
        <w:t>адрес</w:t>
      </w:r>
      <w:r>
        <w:rPr>
          <w:lang w:val="en-BE" w:eastAsia="en-BE" w:bidi="ar-SA"/>
        </w:rPr>
        <w:t xml:space="preserve">, в составе председательствующего судьи </w:t>
      </w:r>
      <w:r>
        <w:rPr>
          <w:rStyle w:val="cat-FIOgrp-3rplc-2"/>
          <w:lang w:val="en-BE" w:eastAsia="en-BE" w:bidi="ar-SA"/>
        </w:rPr>
        <w:t>фио</w:t>
      </w:r>
      <w:r>
        <w:rPr>
          <w:lang w:val="en-BE" w:eastAsia="en-BE" w:bidi="ar-SA"/>
        </w:rPr>
        <w:t xml:space="preserve">, при секретаре </w:t>
      </w:r>
      <w:r>
        <w:rPr>
          <w:rStyle w:val="cat-FIOgrp-4rplc-3"/>
          <w:lang w:val="en-BE" w:eastAsia="en-BE" w:bidi="ar-SA"/>
        </w:rPr>
        <w:t>фио</w:t>
      </w:r>
      <w:r>
        <w:rPr>
          <w:lang w:val="en-BE" w:eastAsia="en-BE" w:bidi="ar-SA"/>
        </w:rPr>
        <w:t xml:space="preserve">, рассмотрев в открытом судебном заседании гражданское дело № </w:t>
      </w:r>
      <w:r>
        <w:rPr>
          <w:lang w:val="en-BE" w:eastAsia="en-BE" w:bidi="ar-SA"/>
        </w:rPr>
        <w:t xml:space="preserve">2-2372/21 по иску ПАО «Сбербанк России» к Кармышовой </w:t>
      </w:r>
      <w:r>
        <w:rPr>
          <w:rStyle w:val="cat-UserDefinedgrp-17rplc-5"/>
          <w:lang w:val="en-BE" w:eastAsia="en-BE" w:bidi="ar-SA"/>
        </w:rPr>
        <w:t>Д.А.</w:t>
      </w:r>
      <w:r>
        <w:rPr>
          <w:lang w:val="en-BE" w:eastAsia="en-BE" w:bidi="ar-SA"/>
        </w:rPr>
        <w:t xml:space="preserve"> о взыскании ссудной задолженности по эмиссионному контракту,</w:t>
      </w:r>
    </w:p>
    <w:p w:rsidR="00000000" w:rsidRDefault="00080B97">
      <w:pPr>
        <w:ind w:firstLine="567"/>
        <w:jc w:val="center"/>
        <w:rPr>
          <w:lang w:val="en-BE" w:eastAsia="en-BE" w:bidi="ar-SA"/>
        </w:rPr>
      </w:pPr>
      <w:r>
        <w:rPr>
          <w:b/>
          <w:bCs/>
          <w:lang w:val="en-BE" w:eastAsia="en-BE" w:bidi="ar-SA"/>
        </w:rPr>
        <w:t>УСТАНОВИЛ:</w:t>
      </w:r>
    </w:p>
    <w:p w:rsidR="00000000" w:rsidRDefault="00080B97">
      <w:pPr>
        <w:ind w:firstLine="567"/>
        <w:jc w:val="both"/>
        <w:rPr>
          <w:lang w:val="en-BE" w:eastAsia="en-BE" w:bidi="ar-SA"/>
        </w:rPr>
      </w:pPr>
    </w:p>
    <w:p w:rsidR="00000000" w:rsidRDefault="00080B97">
      <w:pPr>
        <w:ind w:firstLine="567"/>
        <w:jc w:val="both"/>
        <w:rPr>
          <w:lang w:val="en-BE" w:eastAsia="en-BE" w:bidi="ar-SA"/>
        </w:rPr>
      </w:pPr>
      <w:r>
        <w:rPr>
          <w:lang w:val="en-BE" w:eastAsia="en-BE" w:bidi="ar-SA"/>
        </w:rPr>
        <w:t>Истец ПАО «Сбербанк России» в лице филиала Московского банка ПАО Сбербанк обратился в суд с иском к ответчику Кармышовой Д.А.</w:t>
      </w:r>
      <w:r>
        <w:rPr>
          <w:lang w:val="en-BE" w:eastAsia="en-BE" w:bidi="ar-SA"/>
        </w:rPr>
        <w:t xml:space="preserve"> о взыскании ссудной задолженности по эмиссионному контракту, указав, что между ПАО «Сбербанк России» и Кармышовой Д.А. 13 апреля 2017 года заключен эмиссионный контракт № </w:t>
      </w:r>
      <w:r>
        <w:rPr>
          <w:rStyle w:val="cat-UserDefinedgrp-18rplc-8"/>
          <w:lang w:val="en-BE" w:eastAsia="en-BE" w:bidi="ar-SA"/>
        </w:rPr>
        <w:t>...</w:t>
      </w:r>
      <w:r>
        <w:rPr>
          <w:lang w:val="en-BE" w:eastAsia="en-BE" w:bidi="ar-SA"/>
        </w:rPr>
        <w:t xml:space="preserve"> на предоставление Кармышовой Д.А. возобновляемой кредитной линии посредством выд</w:t>
      </w:r>
      <w:r>
        <w:rPr>
          <w:lang w:val="en-BE" w:eastAsia="en-BE" w:bidi="ar-SA"/>
        </w:rPr>
        <w:t>ачи ей банковской карты Сбербанка с предоставленным по ней кредитом и обслуживанием счета по данной карте в российских рублях. Договор заключен в результате публичной оферты путём оформления ответчиком заявления на получение кредитной карты Сбербанка Росси</w:t>
      </w:r>
      <w:r>
        <w:rPr>
          <w:lang w:val="en-BE" w:eastAsia="en-BE" w:bidi="ar-SA"/>
        </w:rPr>
        <w:t xml:space="preserve">и и ознакомления его с Условиями выпуска и обслуживания кредитной карты Сбербанка, Тарифами Сбербанка. Во исполнение заключенного договора Кармышовой Д.А. выдана кредитная карта с лимитом кредита </w:t>
      </w:r>
      <w:r>
        <w:rPr>
          <w:rStyle w:val="cat-Sumgrp-8rplc-11"/>
          <w:lang w:val="en-BE" w:eastAsia="en-BE" w:bidi="ar-SA"/>
        </w:rPr>
        <w:t>сумма</w:t>
      </w:r>
      <w:r>
        <w:rPr>
          <w:lang w:val="en-BE" w:eastAsia="en-BE" w:bidi="ar-SA"/>
        </w:rPr>
        <w:t xml:space="preserve"> под 25,90% годовых на условиях, определенных Тарифами </w:t>
      </w:r>
      <w:r>
        <w:rPr>
          <w:lang w:val="en-BE" w:eastAsia="en-BE" w:bidi="ar-SA"/>
        </w:rPr>
        <w:t xml:space="preserve">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При этом Сбербанк России обязался ежемесячно формировать и предоставлять ответчику отчеты по карте </w:t>
      </w:r>
      <w:r>
        <w:rPr>
          <w:lang w:val="en-BE" w:eastAsia="en-BE" w:bidi="ar-SA"/>
        </w:rPr>
        <w:t>с указанием совершенных по карте операций, платежей за пользование кредитными средствами, в том числе сумм, обязательных платежей по карте. Ответчиком платежи в счет погашения задолженности по кредиту производились с нарушением в части сроков и сумм, обяза</w:t>
      </w:r>
      <w:r>
        <w:rPr>
          <w:lang w:val="en-BE" w:eastAsia="en-BE" w:bidi="ar-SA"/>
        </w:rPr>
        <w:t xml:space="preserve">тельных к погашению, и по состоянию на 26 января 2021 года образовалась задолженность в размере </w:t>
      </w:r>
      <w:r>
        <w:rPr>
          <w:rStyle w:val="cat-Sumgrp-9rplc-12"/>
          <w:lang w:val="en-BE" w:eastAsia="en-BE" w:bidi="ar-SA"/>
        </w:rPr>
        <w:t>сумма</w:t>
      </w:r>
      <w:r>
        <w:rPr>
          <w:lang w:val="en-BE" w:eastAsia="en-BE" w:bidi="ar-SA"/>
        </w:rPr>
        <w:t xml:space="preserve">, из которых: </w:t>
      </w:r>
      <w:r>
        <w:rPr>
          <w:rStyle w:val="cat-Sumgrp-10rplc-13"/>
          <w:lang w:val="en-BE" w:eastAsia="en-BE" w:bidi="ar-SA"/>
        </w:rPr>
        <w:t>сумма</w:t>
      </w:r>
      <w:r>
        <w:rPr>
          <w:lang w:val="en-BE" w:eastAsia="en-BE" w:bidi="ar-SA"/>
        </w:rPr>
        <w:t xml:space="preserve"> – просроченный основной долг, </w:t>
      </w:r>
      <w:r>
        <w:rPr>
          <w:rStyle w:val="cat-Sumgrp-11rplc-14"/>
          <w:lang w:val="en-BE" w:eastAsia="en-BE" w:bidi="ar-SA"/>
        </w:rPr>
        <w:t>сумма</w:t>
      </w:r>
      <w:r>
        <w:rPr>
          <w:lang w:val="en-BE" w:eastAsia="en-BE" w:bidi="ar-SA"/>
        </w:rPr>
        <w:t xml:space="preserve"> – просроченные проценты, </w:t>
      </w:r>
      <w:r>
        <w:rPr>
          <w:rStyle w:val="cat-Sumgrp-12rplc-15"/>
          <w:lang w:val="en-BE" w:eastAsia="en-BE" w:bidi="ar-SA"/>
        </w:rPr>
        <w:t>сумма</w:t>
      </w:r>
      <w:r>
        <w:rPr>
          <w:lang w:val="en-BE" w:eastAsia="en-BE" w:bidi="ar-SA"/>
        </w:rPr>
        <w:t xml:space="preserve"> – неустойка. Поскольку претензионные требования банка об оплате задо</w:t>
      </w:r>
      <w:r>
        <w:rPr>
          <w:lang w:val="en-BE" w:eastAsia="en-BE" w:bidi="ar-SA"/>
        </w:rPr>
        <w:t xml:space="preserve">лженности оставлены ответчиком без внимания, ПАО «Сбербанк России» обратился в суд с указанными требованиями, просит взыскать с ответчика задолженность по эмиссионному контракту № </w:t>
      </w:r>
      <w:r>
        <w:rPr>
          <w:rStyle w:val="cat-UserDefinedgrp-18rplc-16"/>
          <w:lang w:val="en-BE" w:eastAsia="en-BE" w:bidi="ar-SA"/>
        </w:rPr>
        <w:t>...</w:t>
      </w:r>
      <w:r>
        <w:rPr>
          <w:lang w:val="en-BE" w:eastAsia="en-BE" w:bidi="ar-SA"/>
        </w:rPr>
        <w:t xml:space="preserve"> от 13 апреля 2017 года в размере </w:t>
      </w:r>
      <w:r>
        <w:rPr>
          <w:rStyle w:val="cat-Sumgrp-9rplc-17"/>
          <w:lang w:val="en-BE" w:eastAsia="en-BE" w:bidi="ar-SA"/>
        </w:rPr>
        <w:t>сумма</w:t>
      </w:r>
      <w:r>
        <w:rPr>
          <w:lang w:val="en-BE" w:eastAsia="en-BE" w:bidi="ar-SA"/>
        </w:rPr>
        <w:t>, а также расходы по уплате госуда</w:t>
      </w:r>
      <w:r>
        <w:rPr>
          <w:lang w:val="en-BE" w:eastAsia="en-BE" w:bidi="ar-SA"/>
        </w:rPr>
        <w:t xml:space="preserve">рственной пошлины в размере </w:t>
      </w:r>
      <w:r>
        <w:rPr>
          <w:rStyle w:val="cat-Sumgrp-13rplc-18"/>
          <w:lang w:val="en-BE" w:eastAsia="en-BE" w:bidi="ar-SA"/>
        </w:rPr>
        <w:t>сумма</w:t>
      </w:r>
      <w:r>
        <w:rPr>
          <w:lang w:val="en-BE" w:eastAsia="en-BE" w:bidi="ar-SA"/>
        </w:rPr>
        <w:t>.</w:t>
      </w:r>
    </w:p>
    <w:p w:rsidR="00000000" w:rsidRDefault="00080B97">
      <w:pPr>
        <w:ind w:firstLine="567"/>
        <w:jc w:val="both"/>
        <w:rPr>
          <w:lang w:val="en-BE" w:eastAsia="en-BE" w:bidi="ar-SA"/>
        </w:rPr>
      </w:pPr>
      <w:r>
        <w:rPr>
          <w:lang w:val="en-BE" w:eastAsia="en-BE" w:bidi="ar-SA"/>
        </w:rPr>
        <w:t>Представитель истца ПАО «Сбербанк России» в лице филиала Московского банка ПАО Сбербанк в судебное заседание не явился, о дате, месте и времени судебного заседания истец извещён надлежащим образом; при подаче искового зая</w:t>
      </w:r>
      <w:r>
        <w:rPr>
          <w:lang w:val="en-BE" w:eastAsia="en-BE" w:bidi="ar-SA"/>
        </w:rPr>
        <w:t>вления просил о рассмотрении дела в отсутствии представителя.</w:t>
      </w:r>
    </w:p>
    <w:p w:rsidR="00000000" w:rsidRDefault="00080B97">
      <w:pPr>
        <w:ind w:firstLine="567"/>
        <w:jc w:val="both"/>
        <w:rPr>
          <w:lang w:val="en-BE" w:eastAsia="en-BE" w:bidi="ar-SA"/>
        </w:rPr>
      </w:pPr>
      <w:r>
        <w:rPr>
          <w:lang w:val="en-BE" w:eastAsia="en-BE" w:bidi="ar-SA"/>
        </w:rPr>
        <w:t>Ответчик в судебное заседание не явился, о дате, месте и времени слушания дела извещался своевременно и надлежащим образом.</w:t>
      </w:r>
    </w:p>
    <w:p w:rsidR="00000000" w:rsidRDefault="00080B97">
      <w:pPr>
        <w:ind w:firstLine="567"/>
        <w:jc w:val="both"/>
        <w:rPr>
          <w:lang w:val="en-BE" w:eastAsia="en-BE" w:bidi="ar-SA"/>
        </w:rPr>
      </w:pPr>
      <w:r>
        <w:rPr>
          <w:lang w:val="en-BE" w:eastAsia="en-BE" w:bidi="ar-SA"/>
        </w:rPr>
        <w:t>В соответствии со ст.113 ГПК РФ лица, участвующие в деле, а также свид</w:t>
      </w:r>
      <w:r>
        <w:rPr>
          <w:lang w:val="en-BE" w:eastAsia="en-BE" w:bidi="ar-SA"/>
        </w:rPr>
        <w:t>етели, эксперты, специалисты и переводчики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связи либо с использованием иных средств с</w:t>
      </w:r>
      <w:r>
        <w:rPr>
          <w:lang w:val="en-BE" w:eastAsia="en-BE" w:bidi="ar-SA"/>
        </w:rPr>
        <w:t>вязи и доставки, обеспечивающих фиксирование судебного извещения или вызова и его вручение адресату.</w:t>
      </w:r>
    </w:p>
    <w:p w:rsidR="00000000" w:rsidRDefault="00080B97">
      <w:pPr>
        <w:ind w:firstLine="567"/>
        <w:jc w:val="both"/>
        <w:rPr>
          <w:lang w:val="en-BE" w:eastAsia="en-BE" w:bidi="ar-SA"/>
        </w:rPr>
      </w:pPr>
      <w:r>
        <w:rPr>
          <w:lang w:val="en-BE" w:eastAsia="en-BE" w:bidi="ar-SA"/>
        </w:rPr>
        <w:lastRenderedPageBreak/>
        <w:t>Судебное извещение, адресованное лицу, участвующему в деле, направляется по адресу, указанному лицом, участвующим в деле, или его представителем.</w:t>
      </w:r>
    </w:p>
    <w:p w:rsidR="00000000" w:rsidRDefault="00080B97">
      <w:pPr>
        <w:ind w:firstLine="567"/>
        <w:jc w:val="both"/>
        <w:rPr>
          <w:lang w:val="en-BE" w:eastAsia="en-BE" w:bidi="ar-SA"/>
        </w:rPr>
      </w:pPr>
      <w:r>
        <w:rPr>
          <w:lang w:val="en-BE" w:eastAsia="en-BE" w:bidi="ar-SA"/>
        </w:rPr>
        <w:t xml:space="preserve">Судебное </w:t>
      </w:r>
      <w:r>
        <w:rPr>
          <w:lang w:val="en-BE" w:eastAsia="en-BE" w:bidi="ar-SA"/>
        </w:rPr>
        <w:t>извещение, адресованное организации, направляется по ее адресу.</w:t>
      </w:r>
    </w:p>
    <w:p w:rsidR="00000000" w:rsidRDefault="00080B97">
      <w:pPr>
        <w:ind w:firstLine="567"/>
        <w:jc w:val="both"/>
        <w:rPr>
          <w:lang w:val="en-BE" w:eastAsia="en-BE" w:bidi="ar-SA"/>
        </w:rPr>
      </w:pPr>
      <w:r>
        <w:rPr>
          <w:lang w:val="en-BE" w:eastAsia="en-BE" w:bidi="ar-SA"/>
        </w:rPr>
        <w:t>Судебное извещение, адресованное организации, может быть направлено по адресу ее представительства или филиала, если они указаны в учредительных документах.</w:t>
      </w:r>
    </w:p>
    <w:p w:rsidR="00000000" w:rsidRDefault="00080B97">
      <w:pPr>
        <w:ind w:firstLine="567"/>
        <w:jc w:val="both"/>
        <w:rPr>
          <w:lang w:val="en-BE" w:eastAsia="en-BE" w:bidi="ar-SA"/>
        </w:rPr>
      </w:pPr>
      <w:r>
        <w:rPr>
          <w:lang w:val="en-BE" w:eastAsia="en-BE" w:bidi="ar-SA"/>
        </w:rPr>
        <w:t xml:space="preserve">Также суд отмечает, что информация </w:t>
      </w:r>
      <w:r>
        <w:rPr>
          <w:lang w:val="en-BE" w:eastAsia="en-BE" w:bidi="ar-SA"/>
        </w:rPr>
        <w:t xml:space="preserve">о движении дела публикуется на официальном сайте суда и имеется в свободном доступе по адресу: </w:t>
      </w:r>
      <w:hyperlink r:id="rId5" w:history="1">
        <w:r>
          <w:rPr>
            <w:color w:val="0000EE"/>
            <w:u w:val="single" w:color="0000EE"/>
            <w:lang w:val="en-BE" w:eastAsia="en-BE" w:bidi="ar-SA"/>
          </w:rPr>
          <w:t>https://mos-gorsud.ru/rs/gagarinskij</w:t>
        </w:r>
      </w:hyperlink>
      <w:r>
        <w:rPr>
          <w:lang w:val="en-BE" w:eastAsia="en-BE" w:bidi="ar-SA"/>
        </w:rPr>
        <w:t xml:space="preserve">.  </w:t>
      </w:r>
    </w:p>
    <w:p w:rsidR="00000000" w:rsidRDefault="00080B97">
      <w:pPr>
        <w:widowControl w:val="0"/>
        <w:ind w:firstLine="567"/>
        <w:jc w:val="both"/>
        <w:rPr>
          <w:lang w:val="en-BE" w:eastAsia="en-BE" w:bidi="ar-SA"/>
        </w:rPr>
      </w:pPr>
      <w:r>
        <w:rPr>
          <w:lang w:val="en-BE" w:eastAsia="en-BE" w:bidi="ar-SA"/>
        </w:rPr>
        <w:t>В соответствии с ч.1 ст.115 ГПК РФ судебные повестки и иные судебны</w:t>
      </w:r>
      <w:r>
        <w:rPr>
          <w:lang w:val="en-BE" w:eastAsia="en-BE" w:bidi="ar-SA"/>
        </w:rPr>
        <w:t>е извещения доставляются по почте или лицом, которому судья поручает их доставить. Время их вручения адресату фиксируется установленным в организациях почтовой связи способом или на документе, подлежащем возврату в суд.</w:t>
      </w:r>
    </w:p>
    <w:p w:rsidR="00000000" w:rsidRDefault="00080B97">
      <w:pPr>
        <w:widowControl w:val="0"/>
        <w:ind w:firstLine="567"/>
        <w:jc w:val="both"/>
        <w:rPr>
          <w:lang w:val="en-BE" w:eastAsia="en-BE" w:bidi="ar-SA"/>
        </w:rPr>
      </w:pPr>
      <w:r>
        <w:rPr>
          <w:lang w:val="en-BE" w:eastAsia="en-BE" w:bidi="ar-SA"/>
        </w:rPr>
        <w:t>В соответствии с ч.3 и ч.4 ст.116 ГП</w:t>
      </w:r>
      <w:r>
        <w:rPr>
          <w:lang w:val="en-BE" w:eastAsia="en-BE" w:bidi="ar-SA"/>
        </w:rPr>
        <w:t>К РФ при временном отсутствии адресата лицо, доставляющее судебную повестку, отмечает на корешке повестки, куда выбыл адресат и когда ожидается его возвращение.</w:t>
      </w:r>
    </w:p>
    <w:p w:rsidR="00000000" w:rsidRDefault="00080B97">
      <w:pPr>
        <w:widowControl w:val="0"/>
        <w:ind w:firstLine="567"/>
        <w:jc w:val="both"/>
        <w:rPr>
          <w:lang w:val="en-BE" w:eastAsia="en-BE" w:bidi="ar-SA"/>
        </w:rPr>
      </w:pPr>
      <w:r>
        <w:rPr>
          <w:lang w:val="en-BE" w:eastAsia="en-BE" w:bidi="ar-SA"/>
        </w:rPr>
        <w:t>В случае если неизвестно место пребывания адресата, об этом делается отметка на подлежащей вруч</w:t>
      </w:r>
      <w:r>
        <w:rPr>
          <w:lang w:val="en-BE" w:eastAsia="en-BE" w:bidi="ar-SA"/>
        </w:rPr>
        <w:t>ению судебной повестке с указанием даты и времени совершенного действия, а также источника информации.</w:t>
      </w:r>
    </w:p>
    <w:p w:rsidR="00000000" w:rsidRDefault="00080B97">
      <w:pPr>
        <w:ind w:firstLine="567"/>
        <w:jc w:val="both"/>
        <w:rPr>
          <w:lang w:val="en-BE" w:eastAsia="en-BE" w:bidi="ar-SA"/>
        </w:rPr>
      </w:pPr>
      <w:r>
        <w:rPr>
          <w:lang w:val="en-BE" w:eastAsia="en-BE" w:bidi="ar-SA"/>
        </w:rPr>
        <w:t>Согласно ст.118 ГПК РФ лица, участвующие в деле, обязаны сообщить суду о перемене своего адреса во время производства по делу. При отсутствии такого сооб</w:t>
      </w:r>
      <w:r>
        <w:rPr>
          <w:lang w:val="en-BE" w:eastAsia="en-BE" w:bidi="ar-SA"/>
        </w:rPr>
        <w:t>щения судебная повестка или иное судебное извещение посылаются по последнему известному суду месту жительства или месту нахождения адресата и считаются доставленными, хотя бы адресат по этому адресу более не проживает или не находится.</w:t>
      </w:r>
    </w:p>
    <w:p w:rsidR="00000000" w:rsidRDefault="00080B97">
      <w:pPr>
        <w:widowControl w:val="0"/>
        <w:ind w:firstLine="567"/>
        <w:jc w:val="both"/>
        <w:rPr>
          <w:lang w:val="en-BE" w:eastAsia="en-BE" w:bidi="ar-SA"/>
        </w:rPr>
      </w:pPr>
      <w:r>
        <w:rPr>
          <w:lang w:val="en-BE" w:eastAsia="en-BE" w:bidi="ar-SA"/>
        </w:rPr>
        <w:t>В соответствии со ст</w:t>
      </w:r>
      <w:r>
        <w:rPr>
          <w:lang w:val="en-BE" w:eastAsia="en-BE" w:bidi="ar-SA"/>
        </w:rPr>
        <w:t>.119 ГПК РФ при неизвестности места пребывания ответчика суд приступает к рассмотрению дела после поступления в суд сведений об этом с последнего известного места жительства ответчика.</w:t>
      </w:r>
    </w:p>
    <w:p w:rsidR="00000000" w:rsidRDefault="00080B97">
      <w:pPr>
        <w:ind w:firstLine="567"/>
        <w:jc w:val="both"/>
        <w:rPr>
          <w:lang w:val="en-BE" w:eastAsia="en-BE" w:bidi="ar-SA"/>
        </w:rPr>
      </w:pPr>
      <w:r>
        <w:rPr>
          <w:lang w:val="en-BE" w:eastAsia="en-BE" w:bidi="ar-SA"/>
        </w:rPr>
        <w:t>Кроме того, в силу ст.165.1 ГК РФ заявления, уведомления, извещения, тр</w:t>
      </w:r>
      <w:r>
        <w:rPr>
          <w:lang w:val="en-BE" w:eastAsia="en-BE" w:bidi="ar-SA"/>
        </w:rPr>
        <w:t>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доставки соответствующего сообщения ему или его представителю.</w:t>
      </w:r>
    </w:p>
    <w:p w:rsidR="00000000" w:rsidRDefault="00080B97">
      <w:pPr>
        <w:ind w:firstLine="567"/>
        <w:jc w:val="both"/>
        <w:rPr>
          <w:lang w:val="en-BE" w:eastAsia="en-BE" w:bidi="ar-SA"/>
        </w:rPr>
      </w:pPr>
      <w:r>
        <w:rPr>
          <w:lang w:val="en-BE" w:eastAsia="en-BE" w:bidi="ar-SA"/>
        </w:rPr>
        <w:t>Сообще</w:t>
      </w:r>
      <w:r>
        <w:rPr>
          <w:lang w:val="en-BE" w:eastAsia="en-BE" w:bidi="ar-SA"/>
        </w:rPr>
        <w:t>ние считается доставленным и в тех случаях, если оно поступило лицу, которому оно направлено (адресату), но по обстоятельствам, зависящим от него, не было ему вручено или адресат не ознакомился с ним.</w:t>
      </w:r>
    </w:p>
    <w:p w:rsidR="00000000" w:rsidRDefault="00080B97">
      <w:pPr>
        <w:ind w:firstLine="567"/>
        <w:jc w:val="both"/>
        <w:rPr>
          <w:lang w:val="en-BE" w:eastAsia="en-BE" w:bidi="ar-SA"/>
        </w:rPr>
      </w:pPr>
      <w:r>
        <w:rPr>
          <w:lang w:val="en-BE" w:eastAsia="en-BE" w:bidi="ar-SA"/>
        </w:rPr>
        <w:t>Согласно положениям, п.68 Постановления Пленума Верховн</w:t>
      </w:r>
      <w:r>
        <w:rPr>
          <w:lang w:val="en-BE" w:eastAsia="en-BE" w:bidi="ar-SA"/>
        </w:rPr>
        <w:t>ого Суда РФ от 23.06.2015 №25 «О применении судами некоторых положений раздела I части первой Гражданского кодекса Российской Федерации» статья 165.1 ГК РФ подлежит применению также к судебным извещениям и вызовам, если гражданским процессуальным или арбит</w:t>
      </w:r>
      <w:r>
        <w:rPr>
          <w:lang w:val="en-BE" w:eastAsia="en-BE" w:bidi="ar-SA"/>
        </w:rPr>
        <w:t>ражным процессуальным законодательством не предусмотрено иное. Таким образом, риск неполучения поступившей корреспонденции несет адресат.</w:t>
      </w:r>
    </w:p>
    <w:p w:rsidR="00000000" w:rsidRDefault="00080B97">
      <w:pPr>
        <w:ind w:firstLine="567"/>
        <w:jc w:val="both"/>
        <w:rPr>
          <w:lang w:val="en-BE" w:eastAsia="en-BE" w:bidi="ar-SA"/>
        </w:rPr>
      </w:pPr>
      <w:r>
        <w:rPr>
          <w:lang w:val="en-BE" w:eastAsia="en-BE" w:bidi="ar-SA"/>
        </w:rPr>
        <w:t>Учитывая, что судом были предприняты надлежащие меры по извещению ответчика о дате, времени и месте судебного заседани</w:t>
      </w:r>
      <w:r>
        <w:rPr>
          <w:lang w:val="en-BE" w:eastAsia="en-BE" w:bidi="ar-SA"/>
        </w:rPr>
        <w:t>я, при этом, дела подлежат рассмотрению в разумные сроки, ответчику предоставлен достаточный срок для участия в судебном заседании и представления доказательств, суд расценивает извещение ответчика как надлежащее и, руководствуясь ч.4 ст.167 ГПК РФ, полага</w:t>
      </w:r>
      <w:r>
        <w:rPr>
          <w:lang w:val="en-BE" w:eastAsia="en-BE" w:bidi="ar-SA"/>
        </w:rPr>
        <w:t>ет возможным рассмотреть дело в его отсутствие.</w:t>
      </w:r>
    </w:p>
    <w:p w:rsidR="00000000" w:rsidRDefault="00080B97">
      <w:pPr>
        <w:ind w:firstLine="567"/>
        <w:jc w:val="both"/>
        <w:rPr>
          <w:lang w:val="en-BE" w:eastAsia="en-BE" w:bidi="ar-SA"/>
        </w:rPr>
      </w:pPr>
      <w:r>
        <w:rPr>
          <w:lang w:val="en-BE" w:eastAsia="en-BE" w:bidi="ar-SA"/>
        </w:rPr>
        <w:t xml:space="preserve">Исследовав материалы дела, оценив собранные по делу доказательства, суд приходит к следующему выводу. </w:t>
      </w:r>
    </w:p>
    <w:p w:rsidR="00000000" w:rsidRDefault="00080B97">
      <w:pPr>
        <w:ind w:firstLine="567"/>
        <w:jc w:val="both"/>
        <w:rPr>
          <w:lang w:val="en-BE" w:eastAsia="en-BE" w:bidi="ar-SA"/>
        </w:rPr>
      </w:pPr>
      <w:r>
        <w:rPr>
          <w:lang w:val="en-BE" w:eastAsia="en-BE" w:bidi="ar-SA"/>
        </w:rPr>
        <w:t>Согласно ст.</w:t>
      </w:r>
      <w:hyperlink r:id="rId6" w:history="1">
        <w:r>
          <w:rPr>
            <w:color w:val="0000EE"/>
            <w:lang w:val="en-BE" w:eastAsia="en-BE" w:bidi="ar-SA"/>
          </w:rPr>
          <w:t>432 ГК РФ</w:t>
        </w:r>
      </w:hyperlink>
      <w:r>
        <w:rPr>
          <w:lang w:val="en-BE" w:eastAsia="en-BE" w:bidi="ar-SA"/>
        </w:rPr>
        <w:t xml:space="preserve"> договор считается заключенным, если между сторонами, в требуемой в подлежащих случаях форме, достигнуто соглашение по всем существенным </w:t>
      </w:r>
      <w:r>
        <w:rPr>
          <w:lang w:val="en-BE" w:eastAsia="en-BE" w:bidi="ar-SA"/>
        </w:rPr>
        <w:lastRenderedPageBreak/>
        <w:t>условиям договора. Договор заключается посредством направления оферты (предложения заключить договор) одно</w:t>
      </w:r>
      <w:r>
        <w:rPr>
          <w:lang w:val="en-BE" w:eastAsia="en-BE" w:bidi="ar-SA"/>
        </w:rPr>
        <w:t>й из сторон и ее акцепта (принятия предложения) другой стороной.</w:t>
      </w:r>
    </w:p>
    <w:p w:rsidR="00000000" w:rsidRDefault="00080B97">
      <w:pPr>
        <w:ind w:firstLine="567"/>
        <w:jc w:val="both"/>
        <w:rPr>
          <w:lang w:val="en-BE" w:eastAsia="en-BE" w:bidi="ar-SA"/>
        </w:rPr>
      </w:pPr>
      <w:r>
        <w:rPr>
          <w:lang w:val="en-BE" w:eastAsia="en-BE" w:bidi="ar-SA"/>
        </w:rPr>
        <w:t>В соответствии с п.1 ст.</w:t>
      </w:r>
      <w:hyperlink r:id="rId7" w:history="1">
        <w:r>
          <w:rPr>
            <w:color w:val="0000EE"/>
            <w:lang w:val="en-BE" w:eastAsia="en-BE" w:bidi="ar-SA"/>
          </w:rPr>
          <w:t>819</w:t>
        </w:r>
      </w:hyperlink>
      <w:r>
        <w:rPr>
          <w:lang w:val="en-BE" w:eastAsia="en-BE" w:bidi="ar-SA"/>
        </w:rPr>
        <w:t xml:space="preserve"> ГК РФ по кредитному договору банк или иная кредитная организация (кредитор</w:t>
      </w:r>
      <w:r>
        <w:rPr>
          <w:lang w:val="en-BE" w:eastAsia="en-BE" w:bidi="ar-SA"/>
        </w:rPr>
        <w:t>)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Пунктом 2 ст.</w:t>
      </w:r>
      <w:hyperlink r:id="rId8" w:history="1">
        <w:r>
          <w:rPr>
            <w:color w:val="0000EE"/>
            <w:lang w:val="en-BE" w:eastAsia="en-BE" w:bidi="ar-SA"/>
          </w:rPr>
          <w:t>819</w:t>
        </w:r>
      </w:hyperlink>
      <w:r>
        <w:rPr>
          <w:lang w:val="en-BE" w:eastAsia="en-BE" w:bidi="ar-SA"/>
        </w:rPr>
        <w:t xml:space="preserve"> ГК РФ предусмотрено, что к отношениям по кредитному договору применяются те же правила, что и о договоре займа, если иное не предусмотрено правилами параграфа 2 главы 42 ГК РФ и не вытекает из существа кредит</w:t>
      </w:r>
      <w:r>
        <w:rPr>
          <w:lang w:val="en-BE" w:eastAsia="en-BE" w:bidi="ar-SA"/>
        </w:rPr>
        <w:t>ного договора.</w:t>
      </w:r>
    </w:p>
    <w:p w:rsidR="00000000" w:rsidRDefault="00080B97">
      <w:pPr>
        <w:ind w:firstLine="567"/>
        <w:jc w:val="both"/>
        <w:rPr>
          <w:lang w:val="en-BE" w:eastAsia="en-BE" w:bidi="ar-SA"/>
        </w:rPr>
      </w:pPr>
      <w:r>
        <w:rPr>
          <w:lang w:val="en-BE" w:eastAsia="en-BE" w:bidi="ar-SA"/>
        </w:rPr>
        <w:t>Согласно п.3 ст.</w:t>
      </w:r>
      <w:hyperlink r:id="rId9" w:history="1">
        <w:r>
          <w:rPr>
            <w:color w:val="0000EE"/>
            <w:lang w:val="en-BE" w:eastAsia="en-BE" w:bidi="ar-SA"/>
          </w:rPr>
          <w:t>810</w:t>
        </w:r>
      </w:hyperlink>
      <w:r>
        <w:rPr>
          <w:lang w:val="en-BE" w:eastAsia="en-BE" w:bidi="ar-SA"/>
        </w:rPr>
        <w:t xml:space="preserve"> ГК РФ, если иное не предусмотрено договором займа, сумма займа считается возвращенной в момент передачи ее заимодавцу или зачисления</w:t>
      </w:r>
      <w:r>
        <w:rPr>
          <w:lang w:val="en-BE" w:eastAsia="en-BE" w:bidi="ar-SA"/>
        </w:rPr>
        <w:t xml:space="preserve"> соответствующих денежных средств на его банковский счет.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w:t>
      </w:r>
      <w:r>
        <w:rPr>
          <w:lang w:val="en-BE" w:eastAsia="en-BE" w:bidi="ar-SA"/>
        </w:rPr>
        <w:t>чного возврата всей оставшейся суммы займа вместе с причитающимися процентами (п.2 ст.</w:t>
      </w:r>
      <w:hyperlink r:id="rId10" w:history="1">
        <w:r>
          <w:rPr>
            <w:color w:val="0000EE"/>
            <w:lang w:val="en-BE" w:eastAsia="en-BE" w:bidi="ar-SA"/>
          </w:rPr>
          <w:t>811</w:t>
        </w:r>
      </w:hyperlink>
      <w:r>
        <w:rPr>
          <w:lang w:val="en-BE" w:eastAsia="en-BE" w:bidi="ar-SA"/>
        </w:rPr>
        <w:t xml:space="preserve"> ГК РФ).</w:t>
      </w:r>
    </w:p>
    <w:p w:rsidR="00000000" w:rsidRDefault="00080B97">
      <w:pPr>
        <w:ind w:firstLine="567"/>
        <w:jc w:val="both"/>
        <w:rPr>
          <w:lang w:val="en-BE" w:eastAsia="en-BE" w:bidi="ar-SA"/>
        </w:rPr>
      </w:pPr>
      <w:r>
        <w:rPr>
          <w:lang w:val="en-BE" w:eastAsia="en-BE" w:bidi="ar-SA"/>
        </w:rPr>
        <w:t>Согласно ч.1 ст.</w:t>
      </w:r>
      <w:hyperlink r:id="rId11" w:history="1">
        <w:r>
          <w:rPr>
            <w:color w:val="0000EE"/>
            <w:lang w:val="en-BE" w:eastAsia="en-BE" w:bidi="ar-SA"/>
          </w:rPr>
          <w:t>809 ГК РФ</w:t>
        </w:r>
      </w:hyperlink>
      <w:r>
        <w:rPr>
          <w:lang w:val="en-BE" w:eastAsia="en-BE" w:bidi="ar-SA"/>
        </w:rPr>
        <w:t>,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sidR="00000000" w:rsidRDefault="00080B97">
      <w:pPr>
        <w:ind w:firstLine="567"/>
        <w:jc w:val="both"/>
        <w:rPr>
          <w:lang w:val="en-BE" w:eastAsia="en-BE" w:bidi="ar-SA"/>
        </w:rPr>
      </w:pPr>
      <w:r>
        <w:rPr>
          <w:lang w:val="en-BE" w:eastAsia="en-BE" w:bidi="ar-SA"/>
        </w:rPr>
        <w:t>В соответствии со ст.</w:t>
      </w:r>
      <w:hyperlink r:id="rId12" w:history="1">
        <w:r>
          <w:rPr>
            <w:color w:val="0000EE"/>
            <w:lang w:val="en-BE" w:eastAsia="en-BE" w:bidi="ar-SA"/>
          </w:rPr>
          <w:t>820</w:t>
        </w:r>
      </w:hyperlink>
      <w:r>
        <w:rPr>
          <w:lang w:val="en-BE" w:eastAsia="en-BE" w:bidi="ar-SA"/>
        </w:rPr>
        <w:t xml:space="preserve"> ГК РФ кредитный договор должен быть заключен в письменной форме.</w:t>
      </w:r>
    </w:p>
    <w:p w:rsidR="00000000" w:rsidRDefault="00080B97">
      <w:pPr>
        <w:ind w:firstLine="567"/>
        <w:jc w:val="both"/>
        <w:rPr>
          <w:lang w:val="en-BE" w:eastAsia="en-BE" w:bidi="ar-SA"/>
        </w:rPr>
      </w:pPr>
      <w:r>
        <w:rPr>
          <w:lang w:val="en-BE" w:eastAsia="en-BE" w:bidi="ar-SA"/>
        </w:rPr>
        <w:t>Исходя из положений ст.</w:t>
      </w:r>
      <w:hyperlink r:id="rId13" w:history="1">
        <w:r>
          <w:rPr>
            <w:color w:val="0000EE"/>
            <w:lang w:val="en-BE" w:eastAsia="en-BE" w:bidi="ar-SA"/>
          </w:rPr>
          <w:t>810</w:t>
        </w:r>
      </w:hyperlink>
      <w:r>
        <w:rPr>
          <w:lang w:val="en-BE" w:eastAsia="en-BE" w:bidi="ar-SA"/>
        </w:rPr>
        <w:t xml:space="preserve"> ГК РФ заёмщик обязан возвратить займодавцу полученную сумму займа в срок и в порядке, которые предусмотрены договором.</w:t>
      </w:r>
    </w:p>
    <w:p w:rsidR="00000000" w:rsidRDefault="00080B97">
      <w:pPr>
        <w:ind w:firstLine="567"/>
        <w:jc w:val="both"/>
        <w:rPr>
          <w:lang w:val="en-BE" w:eastAsia="en-BE" w:bidi="ar-SA"/>
        </w:rPr>
      </w:pPr>
      <w:r>
        <w:rPr>
          <w:lang w:val="en-BE" w:eastAsia="en-BE" w:bidi="ar-SA"/>
        </w:rPr>
        <w:t xml:space="preserve">Как установлено в судебном заседании, 13 апреля 2017 года заключен эмиссионный контракт № </w:t>
      </w:r>
      <w:r>
        <w:rPr>
          <w:rStyle w:val="cat-UserDefinedgrp-18rplc-19"/>
          <w:lang w:val="en-BE" w:eastAsia="en-BE" w:bidi="ar-SA"/>
        </w:rPr>
        <w:t>...</w:t>
      </w:r>
      <w:r>
        <w:rPr>
          <w:lang w:val="en-BE" w:eastAsia="en-BE" w:bidi="ar-SA"/>
        </w:rPr>
        <w:t xml:space="preserve"> на предоставление Кармышовой Д.А. воз</w:t>
      </w:r>
      <w:r>
        <w:rPr>
          <w:lang w:val="en-BE" w:eastAsia="en-BE" w:bidi="ar-SA"/>
        </w:rPr>
        <w:t xml:space="preserve">обновляемой кредитной линии посредством выдачи ему банковской карты Сбербанка с предоставленным по ней кредитом и обслуживанием счета по данной карте в российских рублях. Договор заключен в результате публичной оферты путём оформления ответчиком заявления </w:t>
      </w:r>
      <w:r>
        <w:rPr>
          <w:lang w:val="en-BE" w:eastAsia="en-BE" w:bidi="ar-SA"/>
        </w:rPr>
        <w:t xml:space="preserve">на получение кредитной карты Сбербанка России и ознакомления его с Условиями выпуска и обслуживания кредитной карты Сбербанка, Тарифами Сбербанка. Во исполнение заключенного договора Кармышовой Д.А. выдана кредитная карта с лимитом кредита </w:t>
      </w:r>
      <w:r>
        <w:rPr>
          <w:rStyle w:val="cat-Sumgrp-8rplc-22"/>
          <w:lang w:val="en-BE" w:eastAsia="en-BE" w:bidi="ar-SA"/>
        </w:rPr>
        <w:t>сумма</w:t>
      </w:r>
      <w:r>
        <w:rPr>
          <w:lang w:val="en-BE" w:eastAsia="en-BE" w:bidi="ar-SA"/>
        </w:rPr>
        <w:t xml:space="preserve"> под 25,90%</w:t>
      </w:r>
      <w:r>
        <w:rPr>
          <w:lang w:val="en-BE" w:eastAsia="en-BE" w:bidi="ar-SA"/>
        </w:rPr>
        <w:t xml:space="preserve"> годовых на условиях, 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При этом Сбербанк России обязался ежемесячно формироват</w:t>
      </w:r>
      <w:r>
        <w:rPr>
          <w:lang w:val="en-BE" w:eastAsia="en-BE" w:bidi="ar-SA"/>
        </w:rPr>
        <w:t xml:space="preserve">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w:t>
      </w:r>
    </w:p>
    <w:p w:rsidR="00000000" w:rsidRDefault="00080B97">
      <w:pPr>
        <w:ind w:firstLine="567"/>
        <w:jc w:val="both"/>
        <w:rPr>
          <w:lang w:val="en-BE" w:eastAsia="en-BE" w:bidi="ar-SA"/>
        </w:rPr>
      </w:pPr>
      <w:r>
        <w:rPr>
          <w:lang w:val="en-BE" w:eastAsia="en-BE" w:bidi="ar-SA"/>
        </w:rPr>
        <w:t>Согласно заявления Кармышовой Д.А. на получение кредитной карты и индив</w:t>
      </w:r>
      <w:r>
        <w:rPr>
          <w:lang w:val="en-BE" w:eastAsia="en-BE" w:bidi="ar-SA"/>
        </w:rPr>
        <w:t xml:space="preserve">идуальных условий выпуска и обслуживания кредитной карты ПАО Сбербанк, сторонами были согласованы следующие условия: сумма (лимит) кредита – </w:t>
      </w:r>
      <w:r>
        <w:rPr>
          <w:rStyle w:val="cat-Sumgrp-8rplc-24"/>
          <w:lang w:val="en-BE" w:eastAsia="en-BE" w:bidi="ar-SA"/>
        </w:rPr>
        <w:t>сумма</w:t>
      </w:r>
      <w:r>
        <w:rPr>
          <w:lang w:val="en-BE" w:eastAsia="en-BE" w:bidi="ar-SA"/>
        </w:rPr>
        <w:t>; процентная ставка по кредиту – 25,90 % годовых.</w:t>
      </w:r>
    </w:p>
    <w:p w:rsidR="00000000" w:rsidRDefault="00080B97">
      <w:pPr>
        <w:ind w:firstLine="567"/>
        <w:jc w:val="both"/>
        <w:rPr>
          <w:lang w:val="en-BE" w:eastAsia="en-BE" w:bidi="ar-SA"/>
        </w:rPr>
      </w:pPr>
      <w:r>
        <w:rPr>
          <w:lang w:val="en-BE" w:eastAsia="en-BE" w:bidi="ar-SA"/>
        </w:rPr>
        <w:t>В соответствии с положениями п.1 ст.329 ГК РФ, исполнение об</w:t>
      </w:r>
      <w:r>
        <w:rPr>
          <w:lang w:val="en-BE" w:eastAsia="en-BE" w:bidi="ar-SA"/>
        </w:rPr>
        <w:t>язательств может обеспечиваться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rsidR="00000000" w:rsidRDefault="00080B97">
      <w:pPr>
        <w:ind w:firstLine="567"/>
        <w:jc w:val="both"/>
        <w:rPr>
          <w:lang w:val="en-BE" w:eastAsia="en-BE" w:bidi="ar-SA"/>
        </w:rPr>
      </w:pPr>
      <w:r>
        <w:rPr>
          <w:lang w:val="en-BE" w:eastAsia="en-BE" w:bidi="ar-SA"/>
        </w:rPr>
        <w:t>В соответствии с п.1 ст.330 ГК РФ, неусто</w:t>
      </w:r>
      <w:r>
        <w:rPr>
          <w:lang w:val="en-BE" w:eastAsia="en-BE" w:bidi="ar-SA"/>
        </w:rPr>
        <w:t>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w:t>
      </w:r>
      <w:r>
        <w:rPr>
          <w:lang w:val="en-BE" w:eastAsia="en-BE" w:bidi="ar-SA"/>
        </w:rPr>
        <w:t>те неустойки кредитор не обязан доказывать причинение ему убытков.</w:t>
      </w:r>
    </w:p>
    <w:p w:rsidR="00000000" w:rsidRDefault="00080B97">
      <w:pPr>
        <w:ind w:firstLine="567"/>
        <w:jc w:val="both"/>
        <w:rPr>
          <w:lang w:val="en-BE" w:eastAsia="en-BE" w:bidi="ar-SA"/>
        </w:rPr>
      </w:pPr>
      <w:r>
        <w:rPr>
          <w:lang w:val="en-BE" w:eastAsia="en-BE" w:bidi="ar-SA"/>
        </w:rPr>
        <w:lastRenderedPageBreak/>
        <w:t>Пунктом 12 Индивидуальных условий предусмотрено, что за несвоевременное погашение обязательных платежей взимается неустойка в размере 36 процентов годовых.</w:t>
      </w:r>
    </w:p>
    <w:p w:rsidR="00000000" w:rsidRDefault="00080B97">
      <w:pPr>
        <w:ind w:firstLine="567"/>
        <w:jc w:val="both"/>
        <w:rPr>
          <w:lang w:val="en-BE" w:eastAsia="en-BE" w:bidi="ar-SA"/>
        </w:rPr>
      </w:pPr>
      <w:r>
        <w:rPr>
          <w:lang w:val="en-BE" w:eastAsia="en-BE" w:bidi="ar-SA"/>
        </w:rPr>
        <w:t>Проанализировав условия договора,</w:t>
      </w:r>
      <w:r>
        <w:rPr>
          <w:lang w:val="en-BE" w:eastAsia="en-BE" w:bidi="ar-SA"/>
        </w:rPr>
        <w:t xml:space="preserve"> суд считает, что в договоре отражены все существенные условия такого договора: сумма кредита, срок пользования кредитом, процентная ставка, размер ответственности за несвоевременный возврат суммы займа, отражён порядок определения размера и периодичности </w:t>
      </w:r>
      <w:r>
        <w:rPr>
          <w:lang w:val="en-BE" w:eastAsia="en-BE" w:bidi="ar-SA"/>
        </w:rPr>
        <w:t>платежей заёмщика по договору и т.д. С данными условиями договора Кармышова Д.А. была согласна, что подтвердила своей подписью на договоре, приложениях и дополнениях к нему.</w:t>
      </w:r>
    </w:p>
    <w:p w:rsidR="00000000" w:rsidRDefault="00080B97">
      <w:pPr>
        <w:ind w:firstLine="567"/>
        <w:jc w:val="both"/>
        <w:rPr>
          <w:lang w:val="en-BE" w:eastAsia="en-BE" w:bidi="ar-SA"/>
        </w:rPr>
      </w:pPr>
      <w:r>
        <w:rPr>
          <w:lang w:val="en-BE" w:eastAsia="en-BE" w:bidi="ar-SA"/>
        </w:rPr>
        <w:t>Во исполнение заключенного договора ответчику Кармышовой Д.А. выдана кредитная кар</w:t>
      </w:r>
      <w:r>
        <w:rPr>
          <w:lang w:val="en-BE" w:eastAsia="en-BE" w:bidi="ar-SA"/>
        </w:rPr>
        <w:t xml:space="preserve">та, с лимитом кредита </w:t>
      </w:r>
      <w:r>
        <w:rPr>
          <w:rStyle w:val="cat-Sumgrp-8rplc-27"/>
          <w:lang w:val="en-BE" w:eastAsia="en-BE" w:bidi="ar-SA"/>
        </w:rPr>
        <w:t>сумма</w:t>
      </w:r>
      <w:r>
        <w:rPr>
          <w:lang w:val="en-BE" w:eastAsia="en-BE" w:bidi="ar-SA"/>
        </w:rPr>
        <w:t xml:space="preserve"> на условиях, 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w:t>
      </w:r>
    </w:p>
    <w:p w:rsidR="00000000" w:rsidRDefault="00080B97">
      <w:pPr>
        <w:ind w:firstLine="567"/>
        <w:jc w:val="both"/>
        <w:rPr>
          <w:lang w:val="en-BE" w:eastAsia="en-BE" w:bidi="ar-SA"/>
        </w:rPr>
      </w:pPr>
      <w:r>
        <w:rPr>
          <w:lang w:val="en-BE" w:eastAsia="en-BE" w:bidi="ar-SA"/>
        </w:rPr>
        <w:t>Согласно ст.</w:t>
      </w:r>
      <w:hyperlink r:id="rId14" w:history="1">
        <w:r>
          <w:rPr>
            <w:color w:val="0000EE"/>
            <w:lang w:val="en-BE" w:eastAsia="en-BE" w:bidi="ar-SA"/>
          </w:rPr>
          <w:t>309</w:t>
        </w:r>
      </w:hyperlink>
      <w:r>
        <w:rPr>
          <w:lang w:val="en-BE" w:eastAsia="en-BE" w:bidi="ar-SA"/>
        </w:rPr>
        <w:t xml:space="preserve"> ГК РФ обязательства должны исполняться надлежащим образом в соответствии с условиями обязательства и требования закона.</w:t>
      </w:r>
    </w:p>
    <w:p w:rsidR="00000000" w:rsidRDefault="00080B97">
      <w:pPr>
        <w:ind w:firstLine="567"/>
        <w:jc w:val="both"/>
        <w:rPr>
          <w:lang w:val="en-BE" w:eastAsia="en-BE" w:bidi="ar-SA"/>
        </w:rPr>
      </w:pPr>
      <w:r>
        <w:rPr>
          <w:lang w:val="en-BE" w:eastAsia="en-BE" w:bidi="ar-SA"/>
        </w:rPr>
        <w:t>Ответчик свои обязательства по эмиссионному контракту надл</w:t>
      </w:r>
      <w:r>
        <w:rPr>
          <w:lang w:val="en-BE" w:eastAsia="en-BE" w:bidi="ar-SA"/>
        </w:rPr>
        <w:t xml:space="preserve">ежащим образом не исполняет, и по состоянию на 26 января 2021 года образовалась задолженность в размере  </w:t>
      </w:r>
      <w:r>
        <w:rPr>
          <w:rStyle w:val="cat-Sumgrp-9rplc-28"/>
          <w:lang w:val="en-BE" w:eastAsia="en-BE" w:bidi="ar-SA"/>
        </w:rPr>
        <w:t>сумма</w:t>
      </w:r>
      <w:r>
        <w:rPr>
          <w:lang w:val="en-BE" w:eastAsia="en-BE" w:bidi="ar-SA"/>
        </w:rPr>
        <w:t xml:space="preserve">, из которых: </w:t>
      </w:r>
      <w:r>
        <w:rPr>
          <w:rStyle w:val="cat-Sumgrp-10rplc-29"/>
          <w:lang w:val="en-BE" w:eastAsia="en-BE" w:bidi="ar-SA"/>
        </w:rPr>
        <w:t>сумма</w:t>
      </w:r>
      <w:r>
        <w:rPr>
          <w:lang w:val="en-BE" w:eastAsia="en-BE" w:bidi="ar-SA"/>
        </w:rPr>
        <w:t xml:space="preserve"> – просроченный основной долг, </w:t>
      </w:r>
      <w:r>
        <w:rPr>
          <w:rStyle w:val="cat-Sumgrp-14rplc-30"/>
          <w:lang w:val="en-BE" w:eastAsia="en-BE" w:bidi="ar-SA"/>
        </w:rPr>
        <w:t>сумма</w:t>
      </w:r>
      <w:r>
        <w:rPr>
          <w:lang w:val="en-BE" w:eastAsia="en-BE" w:bidi="ar-SA"/>
        </w:rPr>
        <w:t xml:space="preserve"> – просроченные проценты, </w:t>
      </w:r>
      <w:r>
        <w:rPr>
          <w:rStyle w:val="cat-Sumgrp-15rplc-31"/>
          <w:lang w:val="en-BE" w:eastAsia="en-BE" w:bidi="ar-SA"/>
        </w:rPr>
        <w:t>сумма</w:t>
      </w:r>
      <w:r>
        <w:rPr>
          <w:lang w:val="en-BE" w:eastAsia="en-BE" w:bidi="ar-SA"/>
        </w:rPr>
        <w:t xml:space="preserve"> – неустойка.</w:t>
      </w:r>
    </w:p>
    <w:p w:rsidR="00000000" w:rsidRDefault="00080B97">
      <w:pPr>
        <w:ind w:firstLine="567"/>
        <w:jc w:val="both"/>
        <w:rPr>
          <w:lang w:val="en-BE" w:eastAsia="en-BE" w:bidi="ar-SA"/>
        </w:rPr>
      </w:pPr>
      <w:r>
        <w:rPr>
          <w:lang w:val="en-BE" w:eastAsia="en-BE" w:bidi="ar-SA"/>
        </w:rPr>
        <w:t>ПАО «Сбербанк России» направил Кармышовой Д.А.</w:t>
      </w:r>
      <w:r>
        <w:rPr>
          <w:lang w:val="en-BE" w:eastAsia="en-BE" w:bidi="ar-SA"/>
        </w:rPr>
        <w:t xml:space="preserve"> требование о досрочном возврате суммы кредита, процентов за пользование кредитом и уплате неустойки, однако данное требование исполнено не было.</w:t>
      </w:r>
    </w:p>
    <w:p w:rsidR="00000000" w:rsidRDefault="00080B97">
      <w:pPr>
        <w:ind w:firstLine="567"/>
        <w:jc w:val="both"/>
        <w:rPr>
          <w:lang w:val="en-BE" w:eastAsia="en-BE" w:bidi="ar-SA"/>
        </w:rPr>
      </w:pPr>
      <w:r>
        <w:rPr>
          <w:lang w:val="en-BE" w:eastAsia="en-BE" w:bidi="ar-SA"/>
        </w:rPr>
        <w:t>Поскольку факт предоставления денежных средств в соответствии с условиями кредитного договора, ответчиком не о</w:t>
      </w:r>
      <w:r>
        <w:rPr>
          <w:lang w:val="en-BE" w:eastAsia="en-BE" w:bidi="ar-SA"/>
        </w:rPr>
        <w:t>спорен, объективных доказательств, опровергающих факт ненадлежащего исполнения ответчиком принятых на себя обязательств, суду не представлено, направленные истцом требования о необходимости погашения задолженности также не исполнены, суд признает исковые т</w:t>
      </w:r>
      <w:r>
        <w:rPr>
          <w:lang w:val="en-BE" w:eastAsia="en-BE" w:bidi="ar-SA"/>
        </w:rPr>
        <w:t>ребования обоснованными и подлежащими удовлетворению в полном объёме в заявленном ПАО «Сбербанк России» размере.</w:t>
      </w:r>
    </w:p>
    <w:p w:rsidR="00000000" w:rsidRDefault="00080B97">
      <w:pPr>
        <w:ind w:firstLine="567"/>
        <w:jc w:val="both"/>
        <w:rPr>
          <w:lang w:val="en-BE" w:eastAsia="en-BE" w:bidi="ar-SA"/>
        </w:rPr>
      </w:pPr>
      <w:r>
        <w:rPr>
          <w:lang w:val="en-BE" w:eastAsia="en-BE" w:bidi="ar-SA"/>
        </w:rPr>
        <w:t>Суд считает, что поскольку факт нарушения условий договора со стороны заёмщика нашёл своё подтверждение, истец вправе требовать взыскания с отв</w:t>
      </w:r>
      <w:r>
        <w:rPr>
          <w:lang w:val="en-BE" w:eastAsia="en-BE" w:bidi="ar-SA"/>
        </w:rPr>
        <w:t>етчика и штрафных санкций.</w:t>
      </w:r>
    </w:p>
    <w:p w:rsidR="00000000" w:rsidRDefault="00080B97">
      <w:pPr>
        <w:ind w:firstLine="567"/>
        <w:jc w:val="both"/>
        <w:rPr>
          <w:lang w:val="en-BE" w:eastAsia="en-BE" w:bidi="ar-SA"/>
        </w:rPr>
      </w:pPr>
      <w:r>
        <w:rPr>
          <w:lang w:val="en-BE" w:eastAsia="en-BE" w:bidi="ar-SA"/>
        </w:rPr>
        <w:t>Ответчиком расчёт суммы основного долга и неустойки, предоставленный истцом, не оспорен, объективных доказательств, опровергающих факт ненадлежащего исполнения заёмщиком принятых на себя обязательств, а также доказательств, котор</w:t>
      </w:r>
      <w:r>
        <w:rPr>
          <w:lang w:val="en-BE" w:eastAsia="en-BE" w:bidi="ar-SA"/>
        </w:rPr>
        <w:t>ые бы опровергали размер задолженности, ответчиком не представлено. Судом доказательств, которые бы опровергали доводы стороны истца, не добыто; суд находит расчёт истца арифметически верным и считает, что он может быть положен в основу решения суда.</w:t>
      </w:r>
    </w:p>
    <w:p w:rsidR="00000000" w:rsidRDefault="00080B97">
      <w:pPr>
        <w:ind w:firstLine="567"/>
        <w:jc w:val="both"/>
        <w:rPr>
          <w:lang w:val="en-BE" w:eastAsia="en-BE" w:bidi="ar-SA"/>
        </w:rPr>
      </w:pPr>
      <w:r>
        <w:rPr>
          <w:lang w:val="en-BE" w:eastAsia="en-BE" w:bidi="ar-SA"/>
        </w:rPr>
        <w:t>ПАО «</w:t>
      </w:r>
      <w:r>
        <w:rPr>
          <w:lang w:val="en-BE" w:eastAsia="en-BE" w:bidi="ar-SA"/>
        </w:rPr>
        <w:t xml:space="preserve">Сбербанк России» при подаче искового заявления была уплачена государственная пошлина в размере </w:t>
      </w:r>
      <w:r>
        <w:rPr>
          <w:rStyle w:val="cat-Sumgrp-16rplc-33"/>
          <w:lang w:val="en-BE" w:eastAsia="en-BE" w:bidi="ar-SA"/>
        </w:rPr>
        <w:t>сумма</w:t>
      </w:r>
      <w:r>
        <w:rPr>
          <w:lang w:val="en-BE" w:eastAsia="en-BE" w:bidi="ar-SA"/>
        </w:rPr>
        <w:t>, что подтверждается ПП № 157172 от 04.02.2021, которая подлежит взысканию с Кармышовой Д.А. в пользу ПАО «Сбербанк России».</w:t>
      </w:r>
    </w:p>
    <w:p w:rsidR="00000000" w:rsidRDefault="00080B97">
      <w:pPr>
        <w:ind w:firstLine="567"/>
        <w:jc w:val="both"/>
        <w:rPr>
          <w:lang w:val="en-BE" w:eastAsia="en-BE" w:bidi="ar-SA"/>
        </w:rPr>
      </w:pPr>
      <w:r>
        <w:rPr>
          <w:lang w:val="en-BE" w:eastAsia="en-BE" w:bidi="ar-SA"/>
        </w:rPr>
        <w:t>На основании изложенного, руков</w:t>
      </w:r>
      <w:r>
        <w:rPr>
          <w:lang w:val="en-BE" w:eastAsia="en-BE" w:bidi="ar-SA"/>
        </w:rPr>
        <w:t>одствуясь ст.ст. 194-198 ГПК РФ, суд</w:t>
      </w:r>
    </w:p>
    <w:p w:rsidR="00000000" w:rsidRDefault="00080B97">
      <w:pPr>
        <w:ind w:firstLine="567"/>
        <w:jc w:val="both"/>
        <w:rPr>
          <w:lang w:val="en-BE" w:eastAsia="en-BE" w:bidi="ar-SA"/>
        </w:rPr>
      </w:pPr>
    </w:p>
    <w:p w:rsidR="00000000" w:rsidRDefault="00080B97">
      <w:pPr>
        <w:ind w:firstLine="567"/>
        <w:jc w:val="center"/>
        <w:rPr>
          <w:lang w:val="en-BE" w:eastAsia="en-BE" w:bidi="ar-SA"/>
        </w:rPr>
      </w:pPr>
      <w:r>
        <w:rPr>
          <w:b/>
          <w:bCs/>
          <w:lang w:val="en-BE" w:eastAsia="en-BE" w:bidi="ar-SA"/>
        </w:rPr>
        <w:t>РЕШИЛ:</w:t>
      </w:r>
    </w:p>
    <w:p w:rsidR="00000000" w:rsidRDefault="00080B97">
      <w:pPr>
        <w:ind w:firstLine="567"/>
        <w:jc w:val="both"/>
        <w:rPr>
          <w:lang w:val="en-BE" w:eastAsia="en-BE" w:bidi="ar-SA"/>
        </w:rPr>
      </w:pPr>
      <w:r>
        <w:rPr>
          <w:lang w:val="en-BE" w:eastAsia="en-BE" w:bidi="ar-SA"/>
        </w:rPr>
        <w:t> </w:t>
      </w:r>
    </w:p>
    <w:p w:rsidR="00000000" w:rsidRDefault="00080B97">
      <w:pPr>
        <w:ind w:firstLine="567"/>
        <w:jc w:val="both"/>
        <w:rPr>
          <w:lang w:val="en-BE" w:eastAsia="en-BE" w:bidi="ar-SA"/>
        </w:rPr>
      </w:pPr>
      <w:r>
        <w:rPr>
          <w:lang w:val="en-BE" w:eastAsia="en-BE" w:bidi="ar-SA"/>
        </w:rPr>
        <w:t xml:space="preserve">Взыскать с Кармышовой </w:t>
      </w:r>
      <w:r>
        <w:rPr>
          <w:rStyle w:val="cat-UserDefinedgrp-19rplc-36"/>
          <w:lang w:val="en-BE" w:eastAsia="en-BE" w:bidi="ar-SA"/>
        </w:rPr>
        <w:t>Д.А.</w:t>
      </w:r>
      <w:r>
        <w:rPr>
          <w:lang w:val="en-BE" w:eastAsia="en-BE" w:bidi="ar-SA"/>
        </w:rPr>
        <w:t xml:space="preserve"> в пользу ПАО «Сбербанк России» денежные средства в размере </w:t>
      </w:r>
      <w:r>
        <w:rPr>
          <w:rStyle w:val="cat-Sumgrp-9rplc-37"/>
          <w:lang w:val="en-BE" w:eastAsia="en-BE" w:bidi="ar-SA"/>
        </w:rPr>
        <w:t>сумма</w:t>
      </w:r>
      <w:r>
        <w:rPr>
          <w:lang w:val="en-BE" w:eastAsia="en-BE" w:bidi="ar-SA"/>
        </w:rPr>
        <w:t xml:space="preserve">, расходы по уплате государственной пошлины в размере </w:t>
      </w:r>
      <w:r>
        <w:rPr>
          <w:rStyle w:val="cat-Sumgrp-16rplc-38"/>
          <w:lang w:val="en-BE" w:eastAsia="en-BE" w:bidi="ar-SA"/>
        </w:rPr>
        <w:t>сумма</w:t>
      </w:r>
      <w:r>
        <w:rPr>
          <w:lang w:val="en-BE" w:eastAsia="en-BE" w:bidi="ar-SA"/>
        </w:rPr>
        <w:t xml:space="preserve">. </w:t>
      </w:r>
    </w:p>
    <w:p w:rsidR="00000000" w:rsidRDefault="00080B97">
      <w:pPr>
        <w:ind w:firstLine="567"/>
        <w:jc w:val="both"/>
        <w:rPr>
          <w:lang w:val="en-BE" w:eastAsia="en-BE" w:bidi="ar-SA"/>
        </w:rPr>
      </w:pPr>
      <w:r>
        <w:rPr>
          <w:lang w:val="en-BE" w:eastAsia="en-BE" w:bidi="ar-SA"/>
        </w:rPr>
        <w:t xml:space="preserve">Решение может быть обжаловано в апелляционном порядке в </w:t>
      </w:r>
      <w:r>
        <w:rPr>
          <w:lang w:val="en-BE" w:eastAsia="en-BE" w:bidi="ar-SA"/>
        </w:rPr>
        <w:t xml:space="preserve">Московский городской суд через Гагаринский районный суд </w:t>
      </w:r>
      <w:r>
        <w:rPr>
          <w:rStyle w:val="cat-Addressgrp-0rplc-39"/>
          <w:lang w:val="en-BE" w:eastAsia="en-BE" w:bidi="ar-SA"/>
        </w:rPr>
        <w:t>адрес</w:t>
      </w:r>
      <w:r>
        <w:rPr>
          <w:lang w:val="en-BE" w:eastAsia="en-BE" w:bidi="ar-SA"/>
        </w:rPr>
        <w:t xml:space="preserve"> в течение месяца со дня изготовления решения суда в окончательной форме.</w:t>
      </w:r>
    </w:p>
    <w:p w:rsidR="00000000" w:rsidRDefault="00080B97">
      <w:pPr>
        <w:ind w:firstLine="567"/>
        <w:jc w:val="both"/>
        <w:rPr>
          <w:lang w:val="en-BE" w:eastAsia="en-BE" w:bidi="ar-SA"/>
        </w:rPr>
      </w:pPr>
      <w:r>
        <w:rPr>
          <w:lang w:val="en-BE" w:eastAsia="en-BE" w:bidi="ar-SA"/>
        </w:rPr>
        <w:t>Решение изготовлено в окончательной форме 08 июля 2021 года.</w:t>
      </w:r>
    </w:p>
    <w:p w:rsidR="00000000" w:rsidRDefault="00080B97">
      <w:pPr>
        <w:pStyle w:val="1"/>
        <w:spacing w:before="0" w:after="0"/>
        <w:ind w:firstLine="567"/>
        <w:jc w:val="center"/>
        <w:rPr>
          <w:lang w:val="en-BE" w:eastAsia="en-BE" w:bidi="ar-SA"/>
        </w:rPr>
      </w:pPr>
    </w:p>
    <w:p w:rsidR="00000000" w:rsidRDefault="00080B97">
      <w:pPr>
        <w:pStyle w:val="1"/>
        <w:spacing w:before="0" w:after="0"/>
        <w:ind w:firstLine="567"/>
        <w:jc w:val="center"/>
        <w:rPr>
          <w:lang w:val="en-BE" w:eastAsia="en-BE" w:bidi="ar-SA"/>
        </w:rPr>
      </w:pPr>
    </w:p>
    <w:p w:rsidR="00000000" w:rsidRDefault="00080B97">
      <w:pPr>
        <w:ind w:firstLine="567"/>
        <w:jc w:val="both"/>
        <w:rPr>
          <w:lang w:val="en-BE" w:eastAsia="en-BE" w:bidi="ar-SA"/>
        </w:rPr>
      </w:pPr>
      <w:r>
        <w:rPr>
          <w:rStyle w:val="cat-FIOgrp-7rplc-40"/>
          <w:b/>
          <w:bCs/>
          <w:lang w:val="en-BE" w:eastAsia="en-BE" w:bidi="ar-SA"/>
        </w:rPr>
        <w:t>фио</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 xml:space="preserve"> Шестаков</w:t>
      </w:r>
    </w:p>
    <w:p w:rsidR="00000000" w:rsidRDefault="00080B97">
      <w:pPr>
        <w:rPr>
          <w:lang w:val="en-BE" w:eastAsia="en-BE" w:bidi="ar-SA"/>
        </w:rPr>
      </w:pPr>
    </w:p>
    <w:p w:rsidR="00000000" w:rsidRDefault="00080B97">
      <w:pPr>
        <w:ind w:firstLine="567"/>
        <w:jc w:val="center"/>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0B97"/>
    <w:rsid w:val="00080B97"/>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F425155E-E37D-4120-9769-8D341E3A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1rplc-1">
    <w:name w:val="cat-Address grp-1 rplc-1"/>
    <w:basedOn w:val="a0"/>
  </w:style>
  <w:style w:type="character" w:customStyle="1" w:styleId="cat-FIOgrp-3rplc-2">
    <w:name w:val="cat-FIO grp-3 rplc-2"/>
    <w:basedOn w:val="a0"/>
  </w:style>
  <w:style w:type="character" w:customStyle="1" w:styleId="cat-FIOgrp-4rplc-3">
    <w:name w:val="cat-FIO grp-4 rplc-3"/>
    <w:basedOn w:val="a0"/>
  </w:style>
  <w:style w:type="character" w:customStyle="1" w:styleId="cat-UserDefinedgrp-17rplc-5">
    <w:name w:val="cat-UserDefined grp-17 rplc-5"/>
    <w:basedOn w:val="a0"/>
  </w:style>
  <w:style w:type="character" w:customStyle="1" w:styleId="cat-UserDefinedgrp-18rplc-8">
    <w:name w:val="cat-UserDefined grp-18 rplc-8"/>
    <w:basedOn w:val="a0"/>
  </w:style>
  <w:style w:type="character" w:customStyle="1" w:styleId="cat-Sumgrp-8rplc-11">
    <w:name w:val="cat-Sum grp-8 rplc-11"/>
    <w:basedOn w:val="a0"/>
  </w:style>
  <w:style w:type="character" w:customStyle="1" w:styleId="cat-Sumgrp-9rplc-12">
    <w:name w:val="cat-Sum grp-9 rplc-12"/>
    <w:basedOn w:val="a0"/>
  </w:style>
  <w:style w:type="character" w:customStyle="1" w:styleId="cat-Sumgrp-10rplc-13">
    <w:name w:val="cat-Sum grp-10 rplc-13"/>
    <w:basedOn w:val="a0"/>
  </w:style>
  <w:style w:type="character" w:customStyle="1" w:styleId="cat-Sumgrp-11rplc-14">
    <w:name w:val="cat-Sum grp-11 rplc-14"/>
    <w:basedOn w:val="a0"/>
  </w:style>
  <w:style w:type="character" w:customStyle="1" w:styleId="cat-Sumgrp-12rplc-15">
    <w:name w:val="cat-Sum grp-12 rplc-15"/>
    <w:basedOn w:val="a0"/>
  </w:style>
  <w:style w:type="character" w:customStyle="1" w:styleId="cat-UserDefinedgrp-18rplc-16">
    <w:name w:val="cat-UserDefined grp-18 rplc-16"/>
    <w:basedOn w:val="a0"/>
  </w:style>
  <w:style w:type="character" w:customStyle="1" w:styleId="cat-Sumgrp-9rplc-17">
    <w:name w:val="cat-Sum grp-9 rplc-17"/>
    <w:basedOn w:val="a0"/>
  </w:style>
  <w:style w:type="character" w:customStyle="1" w:styleId="cat-Sumgrp-13rplc-18">
    <w:name w:val="cat-Sum grp-13 rplc-18"/>
    <w:basedOn w:val="a0"/>
  </w:style>
  <w:style w:type="character" w:customStyle="1" w:styleId="cat-UserDefinedgrp-18rplc-19">
    <w:name w:val="cat-UserDefined grp-18 rplc-19"/>
    <w:basedOn w:val="a0"/>
  </w:style>
  <w:style w:type="character" w:customStyle="1" w:styleId="cat-Sumgrp-8rplc-22">
    <w:name w:val="cat-Sum grp-8 rplc-22"/>
    <w:basedOn w:val="a0"/>
  </w:style>
  <w:style w:type="character" w:customStyle="1" w:styleId="cat-Sumgrp-8rplc-24">
    <w:name w:val="cat-Sum grp-8 rplc-24"/>
    <w:basedOn w:val="a0"/>
  </w:style>
  <w:style w:type="character" w:customStyle="1" w:styleId="cat-Sumgrp-8rplc-27">
    <w:name w:val="cat-Sum grp-8 rplc-27"/>
    <w:basedOn w:val="a0"/>
  </w:style>
  <w:style w:type="character" w:customStyle="1" w:styleId="cat-Sumgrp-9rplc-28">
    <w:name w:val="cat-Sum grp-9 rplc-28"/>
    <w:basedOn w:val="a0"/>
  </w:style>
  <w:style w:type="character" w:customStyle="1" w:styleId="cat-Sumgrp-10rplc-29">
    <w:name w:val="cat-Sum grp-10 rplc-29"/>
    <w:basedOn w:val="a0"/>
  </w:style>
  <w:style w:type="character" w:customStyle="1" w:styleId="cat-Sumgrp-14rplc-30">
    <w:name w:val="cat-Sum grp-14 rplc-30"/>
    <w:basedOn w:val="a0"/>
  </w:style>
  <w:style w:type="character" w:customStyle="1" w:styleId="cat-Sumgrp-15rplc-31">
    <w:name w:val="cat-Sum grp-15 rplc-31"/>
    <w:basedOn w:val="a0"/>
  </w:style>
  <w:style w:type="character" w:customStyle="1" w:styleId="cat-Sumgrp-16rplc-33">
    <w:name w:val="cat-Sum grp-16 rplc-33"/>
    <w:basedOn w:val="a0"/>
  </w:style>
  <w:style w:type="character" w:customStyle="1" w:styleId="cat-UserDefinedgrp-19rplc-36">
    <w:name w:val="cat-UserDefined grp-19 rplc-36"/>
    <w:basedOn w:val="a0"/>
  </w:style>
  <w:style w:type="character" w:customStyle="1" w:styleId="cat-Sumgrp-9rplc-37">
    <w:name w:val="cat-Sum grp-9 rplc-37"/>
    <w:basedOn w:val="a0"/>
  </w:style>
  <w:style w:type="character" w:customStyle="1" w:styleId="cat-Sumgrp-16rplc-38">
    <w:name w:val="cat-Sum grp-16 rplc-38"/>
    <w:basedOn w:val="a0"/>
  </w:style>
  <w:style w:type="character" w:customStyle="1" w:styleId="cat-Addressgrp-0rplc-39">
    <w:name w:val="cat-Address grp-0 rplc-39"/>
    <w:basedOn w:val="a0"/>
  </w:style>
  <w:style w:type="character" w:customStyle="1" w:styleId="cat-FIOgrp-7rplc-40">
    <w:name w:val="cat-FIO grp-7 rplc-40"/>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udact.ru/law/gk-rf-chast2/razdel-iv/glava-42/ss-2_4/statia-819/" TargetMode="External"/><Relationship Id="rId13" Type="http://schemas.openxmlformats.org/officeDocument/2006/relationships/hyperlink" Target="http://sudact.ru/law/gk-rf-chast2/razdel-iv/glava-42/ss-1_4/statia-810/" TargetMode="External"/><Relationship Id="rId3" Type="http://schemas.openxmlformats.org/officeDocument/2006/relationships/settings" Target="settings.xml"/><Relationship Id="rId7" Type="http://schemas.openxmlformats.org/officeDocument/2006/relationships/hyperlink" Target="http://sudact.ru/law/gk-rf-chast2/razdel-iv/glava-42/ss-2_4/statia-819/" TargetMode="External"/><Relationship Id="rId12" Type="http://schemas.openxmlformats.org/officeDocument/2006/relationships/hyperlink" Target="http://sudact.ru/law/gk-rf-chast2/razdel-iv/glava-42/ss-2_4/statia-8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dact.ru/law/gk-rf-chast1/razdel-iii/podrazdel-2_1/glava-28/statia-432/" TargetMode="External"/><Relationship Id="rId11" Type="http://schemas.openxmlformats.org/officeDocument/2006/relationships/hyperlink" Target="http://sudact.ru/law/gk-rf-chast2/razdel-iv/glava-42/ss-1_4/statia-809/" TargetMode="External"/><Relationship Id="rId5" Type="http://schemas.openxmlformats.org/officeDocument/2006/relationships/hyperlink" Target="https://mos-gorsud.ru/rs/gagarinskij" TargetMode="External"/><Relationship Id="rId15" Type="http://schemas.openxmlformats.org/officeDocument/2006/relationships/fontTable" Target="fontTable.xml"/><Relationship Id="rId10" Type="http://schemas.openxmlformats.org/officeDocument/2006/relationships/hyperlink" Target="http://sudact.ru/law/gk-rf-chast2/razdel-iv/glava-42/ss-1_4/statia-811/" TargetMode="External"/><Relationship Id="rId4" Type="http://schemas.openxmlformats.org/officeDocument/2006/relationships/webSettings" Target="webSettings.xml"/><Relationship Id="rId9" Type="http://schemas.openxmlformats.org/officeDocument/2006/relationships/hyperlink" Target="http://sudact.ru/law/gk-rf-chast2/razdel-iv/glava-42/ss-1_4/statia-810/" TargetMode="External"/><Relationship Id="rId14" Type="http://schemas.openxmlformats.org/officeDocument/2006/relationships/hyperlink" Target="http://sudact.ru/law/gk-rf-chast1/razdel-iii/podrazdel-1_1/glava-22/statia-30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2172</Words>
  <Characters>12382</Characters>
  <Application>Microsoft Office Word</Application>
  <DocSecurity>0</DocSecurity>
  <Lines>103</Lines>
  <Paragraphs>29</Paragraphs>
  <ScaleCrop>false</ScaleCrop>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