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05 июня 2023 года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Королевой Е.Е., при секретаре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2-2418/2023 по иску ПАО Сбербанк в лице филиала - Московский Банк ПАО Сбербанк к Артамонову М.А.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Артамонову М.А. в обосновании указав, что 26.12.2017 между ПАО Сбербанк и Артамоновым М.А. заключен кредитный договор N 92991609, в соответствии с которым ответчику были предоставлены денежные средства в размере </w:t>
      </w:r>
      <w:r>
        <w:rPr>
          <w:rStyle w:val="cat-Sumgrp-6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60 месяцев, с процентной ставкой 12 процентов годовых. Денежные средства в сумме </w:t>
      </w:r>
      <w:r>
        <w:rPr>
          <w:rStyle w:val="cat-Sumgrp-6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на счет заемщика, открытый в ПАО Сбербанк. Ответчиком в установленный срок не исполнены обязательства по договору, в связи с чем по состоянию на 28.10.2022 задолженность ответчика </w:t>
      </w:r>
      <w:r>
        <w:rPr>
          <w:rStyle w:val="cat-FIOgrp-4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 </w:t>
      </w:r>
      <w:r>
        <w:rPr>
          <w:rStyle w:val="cat-Sumgrp-7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8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9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- Московский Банк ПАО Сбербанк просит взыскать с ответчика </w:t>
      </w:r>
      <w:r>
        <w:rPr>
          <w:rStyle w:val="cat-FIOgrp-4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свою пользу, а также расходы по оплате государственной пошлины в сумме </w:t>
      </w:r>
      <w:r>
        <w:rPr>
          <w:rStyle w:val="cat-Sumgrp-10rplc-1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в отсутствие надлежаще извещенных о времени и месте судебного заседания представителя истца ПАО Сбербанк в лице филиала - Московский Банк ПАО Сбербанк в порядке ч. 5 ст. 167 ГПК РФ и ответчика </w:t>
      </w:r>
      <w:r>
        <w:rPr>
          <w:rStyle w:val="cat-FIOgrp-4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по правилам ч. 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 xml:space="preserve"> ст. </w:t>
      </w:r>
      <w:r>
        <w:rPr>
          <w:rFonts w:ascii="Times New Roman" w:eastAsia="Times New Roman" w:hAnsi="Times New Roman" w:cs="Times New Roman"/>
          <w:highlight w:val="none"/>
        </w:rPr>
        <w:t>167</w:t>
      </w:r>
      <w:r>
        <w:rPr>
          <w:rFonts w:ascii="Times New Roman" w:eastAsia="Times New Roman" w:hAnsi="Times New Roman" w:cs="Times New Roman"/>
          <w:highlight w:val="none"/>
        </w:rPr>
        <w:t xml:space="preserve"> ГПК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 по делу,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26.12.2017 между ПАО Сбербанк и Артамоновым М.А. заключен кредитный договор N 92991609, в соответствии с которым ПАО Сбербанк передал ответчику денежные средства в размере </w:t>
      </w:r>
      <w:r>
        <w:rPr>
          <w:rStyle w:val="cat-Sumgrp-6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60 месяцев, с процентной ставкой 12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6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банком на счет заемщика, открытый в ПАО Сбербанк, что подтверждается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Артамонов М.А. в нарушение графика погашения кредита допускал просрочки погашения задолженности, что подтверждается расчетом задолженности и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31.07.2021 направило ответчику Артамонову М.А. требование о возврате суммы предоставленных денежных средств до 30.08.2021, однако данное требование до настоящего времени не исполнено.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 по состоянию на 28.10.2022 задолженность ответчика </w:t>
      </w:r>
      <w:r>
        <w:rPr>
          <w:rStyle w:val="cat-FIOgrp-4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 </w:t>
      </w:r>
      <w:r>
        <w:rPr>
          <w:rStyle w:val="cat-Sumgrp-7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8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9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договора,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данных,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7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ПАО Сбербанк в лице филиала - Московский Банк ПАО Сбербанк, связанные с оплатой государственной пошлины за подачу искового заявления в суд в размере </w:t>
      </w:r>
      <w:r>
        <w:rPr>
          <w:rStyle w:val="cat-Sumgrp-10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судом по правилам ч. 1 ст. 98 ГПК РФ и относятся на ответчика.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>193-198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Взыскать с Артамонова М</w:t>
      </w:r>
      <w:r>
        <w:rPr>
          <w:rFonts w:ascii="Times New Roman" w:eastAsia="Times New Roman" w:hAnsi="Times New Roman" w:cs="Times New Roman"/>
          <w:highlight w:val="none"/>
        </w:rPr>
        <w:t>ихаила Александровича</w:t>
      </w:r>
      <w:r>
        <w:rPr>
          <w:rFonts w:ascii="Times New Roman" w:eastAsia="Times New Roman" w:hAnsi="Times New Roman" w:cs="Times New Roman"/>
          <w:highlight w:val="none"/>
        </w:rPr>
        <w:t xml:space="preserve"> (паспорт - 4502 614941) в пользу ПАО Сбербанк в лице филиала - Московский Банк ПАО Сбербанк задолженность по кредитному договору N 92991609 от 26.12.2017 в размере </w:t>
      </w:r>
      <w:r>
        <w:rPr>
          <w:rStyle w:val="cat-Sumgrp-7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10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2"/>
        <w:szCs w:val="22"/>
      </w:rPr>
    </w:pPr>
    <w:r>
      <w:rPr>
        <w:rFonts w:ascii="Calibri" w:eastAsia="Calibri" w:hAnsi="Calibri" w:cs="Calibri"/>
        <w:sz w:val="22"/>
        <w:szCs w:val="22"/>
        <w:highlight w:val="none"/>
      </w:rPr>
      <w:t>77RS0003-02-2023-000126-27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6rplc-6">
    <w:name w:val="cat-Sum grp-6 rplc-6"/>
    <w:basedOn w:val="DefaultParagraphFont"/>
  </w:style>
  <w:style w:type="character" w:customStyle="1" w:styleId="cat-Sumgrp-6rplc-7">
    <w:name w:val="cat-Sum grp-6 rplc-7"/>
    <w:basedOn w:val="DefaultParagraphFont"/>
  </w:style>
  <w:style w:type="character" w:customStyle="1" w:styleId="cat-FIOgrp-4rplc-8">
    <w:name w:val="cat-FIO grp-4 rplc-8"/>
    <w:basedOn w:val="DefaultParagraphFont"/>
  </w:style>
  <w:style w:type="character" w:customStyle="1" w:styleId="cat-Sumgrp-7rplc-9">
    <w:name w:val="cat-Sum grp-7 rplc-9"/>
    <w:basedOn w:val="DefaultParagraphFont"/>
  </w:style>
  <w:style w:type="character" w:customStyle="1" w:styleId="cat-Sumgrp-8rplc-10">
    <w:name w:val="cat-Sum grp-8 rplc-10"/>
    <w:basedOn w:val="DefaultParagraphFont"/>
  </w:style>
  <w:style w:type="character" w:customStyle="1" w:styleId="cat-Sumgrp-9rplc-11">
    <w:name w:val="cat-Sum grp-9 rplc-11"/>
    <w:basedOn w:val="DefaultParagraphFont"/>
  </w:style>
  <w:style w:type="character" w:customStyle="1" w:styleId="cat-FIOgrp-4rplc-12">
    <w:name w:val="cat-FIO grp-4 rplc-12"/>
    <w:basedOn w:val="DefaultParagraphFont"/>
  </w:style>
  <w:style w:type="character" w:customStyle="1" w:styleId="cat-Sumgrp-10rplc-13">
    <w:name w:val="cat-Sum grp-10 rplc-13"/>
    <w:basedOn w:val="DefaultParagraphFont"/>
  </w:style>
  <w:style w:type="character" w:customStyle="1" w:styleId="cat-FIOgrp-4rplc-14">
    <w:name w:val="cat-FIO grp-4 rplc-14"/>
    <w:basedOn w:val="DefaultParagraphFont"/>
  </w:style>
  <w:style w:type="character" w:customStyle="1" w:styleId="cat-Sumgrp-6rplc-16">
    <w:name w:val="cat-Sum grp-6 rplc-16"/>
    <w:basedOn w:val="DefaultParagraphFont"/>
  </w:style>
  <w:style w:type="character" w:customStyle="1" w:styleId="cat-Sumgrp-6rplc-17">
    <w:name w:val="cat-Sum grp-6 rplc-17"/>
    <w:basedOn w:val="DefaultParagraphFont"/>
  </w:style>
  <w:style w:type="character" w:customStyle="1" w:styleId="cat-FIOgrp-4rplc-20">
    <w:name w:val="cat-FIO grp-4 rplc-20"/>
    <w:basedOn w:val="DefaultParagraphFont"/>
  </w:style>
  <w:style w:type="character" w:customStyle="1" w:styleId="cat-Sumgrp-7rplc-21">
    <w:name w:val="cat-Sum grp-7 rplc-21"/>
    <w:basedOn w:val="DefaultParagraphFont"/>
  </w:style>
  <w:style w:type="character" w:customStyle="1" w:styleId="cat-Sumgrp-8rplc-22">
    <w:name w:val="cat-Sum grp-8 rplc-22"/>
    <w:basedOn w:val="DefaultParagraphFont"/>
  </w:style>
  <w:style w:type="character" w:customStyle="1" w:styleId="cat-Sumgrp-9rplc-23">
    <w:name w:val="cat-Sum grp-9 rplc-23"/>
    <w:basedOn w:val="DefaultParagraphFont"/>
  </w:style>
  <w:style w:type="character" w:customStyle="1" w:styleId="cat-Sumgrp-7rplc-24">
    <w:name w:val="cat-Sum grp-7 rplc-24"/>
    <w:basedOn w:val="DefaultParagraphFont"/>
  </w:style>
  <w:style w:type="character" w:customStyle="1" w:styleId="cat-Sumgrp-10rplc-25">
    <w:name w:val="cat-Sum grp-10 rplc-25"/>
    <w:basedOn w:val="DefaultParagraphFont"/>
  </w:style>
  <w:style w:type="character" w:customStyle="1" w:styleId="cat-Sumgrp-7rplc-27">
    <w:name w:val="cat-Sum grp-7 rplc-27"/>
    <w:basedOn w:val="DefaultParagraphFont"/>
  </w:style>
  <w:style w:type="character" w:customStyle="1" w:styleId="cat-Sumgrp-10rplc-28">
    <w:name w:val="cat-Sum grp-10 rplc-28"/>
    <w:basedOn w:val="DefaultParagraphFont"/>
  </w:style>
  <w:style w:type="character" w:customStyle="1" w:styleId="cat-Addressgrp-0rplc-29">
    <w:name w:val="cat-Address grp-0 rplc-29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