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7D4C2D">
      <w:pPr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>УИД 77RS0008-02-2023-005275-29</w:t>
      </w:r>
    </w:p>
    <w:p w:rsidR="00000000" w:rsidRDefault="007D4C2D">
      <w:pPr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Дело №2-2420/2023                                                                                            </w:t>
      </w:r>
    </w:p>
    <w:p w:rsidR="00000000" w:rsidRDefault="007D4C2D">
      <w:pPr>
        <w:jc w:val="center"/>
        <w:rPr>
          <w:lang w:val="en-BE" w:eastAsia="en-BE" w:bidi="ar-SA"/>
        </w:rPr>
      </w:pPr>
    </w:p>
    <w:p w:rsidR="00000000" w:rsidRDefault="007D4C2D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7D4C2D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 РОССИЙСКОЙ   ФЕДЕРАЦИИ</w:t>
      </w:r>
    </w:p>
    <w:p w:rsidR="00000000" w:rsidRDefault="007D4C2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7D4C2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20 сентября 2023 года                                                    </w:t>
      </w:r>
      <w:r>
        <w:rPr>
          <w:lang w:val="en-BE" w:eastAsia="en-BE" w:bidi="ar-SA"/>
        </w:rPr>
        <w:t xml:space="preserve">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7D4C2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Зеленоградский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Абалакина А.Р., при секретаре судебного заседания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по</w:t>
      </w:r>
      <w:r>
        <w:rPr>
          <w:lang w:val="en-BE" w:eastAsia="en-BE" w:bidi="ar-SA"/>
        </w:rPr>
        <w:t xml:space="preserve"> иску ПАО Сбербанк в лице филиала - Московский Банк ПАО Сбербанк к </w:t>
      </w:r>
      <w:r>
        <w:rPr>
          <w:rStyle w:val="cat-FIOgrp-4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UserDefined214271grp-19rplc-5"/>
          <w:lang w:val="en-BE" w:eastAsia="en-BE" w:bidi="ar-SA"/>
        </w:rPr>
        <w:t>...</w:t>
      </w:r>
      <w:r>
        <w:rPr>
          <w:lang w:val="en-BE" w:eastAsia="en-BE" w:bidi="ar-SA"/>
        </w:rPr>
        <w:t>у о взыскании ссудной задолженности по эмиссионному контракту,</w:t>
      </w:r>
    </w:p>
    <w:p w:rsidR="00000000" w:rsidRDefault="007D4C2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7D4C2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 УСТАНОВИЛ:</w:t>
      </w:r>
    </w:p>
    <w:p w:rsidR="00000000" w:rsidRDefault="007D4C2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Истец ПАО Сбербанк в лице филиала - Моск</w:t>
      </w:r>
      <w:r>
        <w:rPr>
          <w:lang w:val="en-BE" w:eastAsia="en-BE" w:bidi="ar-SA"/>
        </w:rPr>
        <w:t xml:space="preserve">овский Банк ПАО Сбербанк обратился в суд с иском к </w:t>
      </w:r>
      <w:r>
        <w:rPr>
          <w:rStyle w:val="cat-FIOgrp-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UserDefined214271grp-19rplc-7"/>
          <w:lang w:val="en-BE" w:eastAsia="en-BE" w:bidi="ar-SA"/>
        </w:rPr>
        <w:t>...</w:t>
      </w:r>
      <w:r>
        <w:rPr>
          <w:lang w:val="en-BE" w:eastAsia="en-BE" w:bidi="ar-SA"/>
        </w:rPr>
        <w:t xml:space="preserve">у о взыскании ссудной задолженности по эмиссионному контракту. В обоснование заявленных требований указал, что 22.07.2014 года ПАО Сбербанк (ранее - ОАО «Сбербанк России», далее по тексту - Банк) и </w:t>
      </w:r>
      <w:r>
        <w:rPr>
          <w:rStyle w:val="cat-FIOgrp-4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UserDefined214272grp-20rplc-9"/>
          <w:lang w:val="en-BE" w:eastAsia="en-BE" w:bidi="ar-SA"/>
        </w:rPr>
        <w:t>...</w:t>
      </w:r>
      <w:r>
        <w:rPr>
          <w:lang w:val="en-BE" w:eastAsia="en-BE" w:bidi="ar-SA"/>
        </w:rPr>
        <w:t xml:space="preserve"> (далее - Ответчик, Заемщик) заключили эмиссионный контракт </w:t>
      </w:r>
      <w:r>
        <w:rPr>
          <w:rStyle w:val="cat-UserDefined214274grp-22rplc-10"/>
          <w:lang w:val="en-BE" w:eastAsia="en-BE" w:bidi="ar-SA"/>
        </w:rPr>
        <w:t>...</w:t>
      </w:r>
      <w:r>
        <w:rPr>
          <w:lang w:val="en-BE" w:eastAsia="en-BE" w:bidi="ar-SA"/>
        </w:rPr>
        <w:t xml:space="preserve"> (далее - Договор)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</w:t>
      </w:r>
      <w:r>
        <w:rPr>
          <w:lang w:val="en-BE" w:eastAsia="en-BE" w:bidi="ar-SA"/>
        </w:rPr>
        <w:t>сийских рублях. Указанный договор заключен в результате публичной оферты путем оформления Заемщиком заявления на получение кредитной карты, подписания Индивидуальных условий выпуска и обслуживания кредитной карты ПАО Сбербанк (далее - Индивидуальные услови</w:t>
      </w:r>
      <w:r>
        <w:rPr>
          <w:lang w:val="en-BE" w:eastAsia="en-BE" w:bidi="ar-SA"/>
        </w:rPr>
        <w:t>я), ознакомления его с Общими условиями выпуска и обслуживания кредитной карты ПАО Сбербанк (далее - Общие условия), тарифами Банка (далее - Тарифы Банка) и памяткой держателя международных банковских карт. Данный договор, по своему существу, является дого</w:t>
      </w:r>
      <w:r>
        <w:rPr>
          <w:lang w:val="en-BE" w:eastAsia="en-BE" w:bidi="ar-SA"/>
        </w:rPr>
        <w:t>вором присоединения, основные положения которого в одностороннем порядке сформулированы Банком в Общих условиях. Возможность заключения такого договора предусмотрена статьей 428 Гражданского кодекса Российской Федераций. Во исполнение заключённого договора</w:t>
      </w:r>
      <w:r>
        <w:rPr>
          <w:lang w:val="en-BE" w:eastAsia="en-BE" w:bidi="ar-SA"/>
        </w:rPr>
        <w:t xml:space="preserve"> Подразделением Банка Заемщику была выдана кредитная карта, условия предоставления и возврата которой изложены в Общих  условиях, информации о полной стоимости кредита, указанной в Индивидуальных условиях, и в Тарифах банка. Также Заемщику был открыт счёт </w:t>
      </w:r>
      <w:r>
        <w:rPr>
          <w:lang w:val="en-BE" w:eastAsia="en-BE" w:bidi="ar-SA"/>
        </w:rPr>
        <w:t>для отражения операций, совершаемых с использованием карты. Ранее был вынесен судебный приказ о взыскании задолженности по данной карте, который впоследствии был отменён определением суда от 30.03.2023 на основании ст. 129 ГПК РФ.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lang w:val="en-BE" w:eastAsia="en-BE" w:bidi="ar-SA"/>
        </w:rPr>
        <w:t>В соответствии с п. 2 Усл</w:t>
      </w:r>
      <w:r>
        <w:rPr>
          <w:lang w:val="en-BE" w:eastAsia="en-BE" w:bidi="ar-SA"/>
        </w:rPr>
        <w:t>овий Подразделение Банка - это подразделение ПАО Сбербанк, осуществляющие выпуск и обслуживание физических лиц по кредитным картам. Перечень Подразделений Банка размещен на Официальном сайте Банка www.sberbank.ru. В соответствии с Общими условиями операции</w:t>
      </w:r>
      <w:r>
        <w:rPr>
          <w:lang w:val="en-BE" w:eastAsia="en-BE" w:bidi="ar-SA"/>
        </w:rPr>
        <w:t>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18.9% г</w:t>
      </w:r>
      <w:r>
        <w:rPr>
          <w:lang w:val="en-BE" w:eastAsia="en-BE" w:bidi="ar-SA"/>
        </w:rPr>
        <w:t>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</w:t>
      </w:r>
      <w:r>
        <w:rPr>
          <w:lang w:val="en-BE" w:eastAsia="en-BE" w:bidi="ar-SA"/>
        </w:rPr>
        <w:t xml:space="preserve">х платежей по карте. 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</w:t>
      </w:r>
      <w:r>
        <w:rPr>
          <w:lang w:val="en-BE" w:eastAsia="en-BE" w:bidi="ar-SA"/>
        </w:rPr>
        <w:lastRenderedPageBreak/>
        <w:t xml:space="preserve">задолженности) в соответствии с информацией, </w:t>
      </w:r>
      <w:r>
        <w:rPr>
          <w:lang w:val="en-BE" w:eastAsia="en-BE" w:bidi="ar-SA"/>
        </w:rPr>
        <w:t>указанной в отчете. Индивидуальными условиями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</w:t>
      </w:r>
      <w:r>
        <w:rPr>
          <w:lang w:val="en-BE" w:eastAsia="en-BE" w:bidi="ar-SA"/>
        </w:rPr>
        <w:t>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 Платежи в счет погашения задолженности по кред</w:t>
      </w:r>
      <w:r>
        <w:rPr>
          <w:lang w:val="en-BE" w:eastAsia="en-BE" w:bidi="ar-SA"/>
        </w:rPr>
        <w:t xml:space="preserve">иту Ответчиком производились с нарушениями в части сроков и сумм, обязательных к погашению. В связи с изложенным, за Ответчиком по состоянию на 18.04.2023 образовалась просроченная задолженность согласно расчету цены иска: - просроченные проценты - </w:t>
      </w:r>
      <w:r>
        <w:rPr>
          <w:rStyle w:val="cat-Sumgrp-7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</w:t>
      </w:r>
      <w:r>
        <w:rPr>
          <w:lang w:val="en-BE" w:eastAsia="en-BE" w:bidi="ar-SA"/>
        </w:rPr>
        <w:t xml:space="preserve"> просроченный основной долг - </w:t>
      </w:r>
      <w:r>
        <w:rPr>
          <w:rStyle w:val="cat-Sumgrp-8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Ответчику было направлено письмо (прилагается) с требованием о досрочном возврате суммы кредита, процентов за пользование кредитом и уплате неустойки. Данное требование до настоящего момента не выполнено. На основании из</w:t>
      </w:r>
      <w:r>
        <w:rPr>
          <w:lang w:val="en-BE" w:eastAsia="en-BE" w:bidi="ar-SA"/>
        </w:rPr>
        <w:t xml:space="preserve">ложенного, истец просит суд на основании пп. 13 п. 1 ст. 333.20 Налогового кодекса Российской Федерации произвести зачёт государственной пошлины в размере </w:t>
      </w:r>
      <w:r>
        <w:rPr>
          <w:rStyle w:val="cat-Sumgrp-9rplc-13"/>
          <w:lang w:val="en-BE" w:eastAsia="en-BE" w:bidi="ar-SA"/>
        </w:rPr>
        <w:t>сумма</w:t>
      </w:r>
      <w:r>
        <w:rPr>
          <w:lang w:val="en-BE" w:eastAsia="en-BE" w:bidi="ar-SA"/>
        </w:rPr>
        <w:t>, уплаченной Истцом за подачу заявления о вынесении судебного приказа (платёжное поручение №4928</w:t>
      </w:r>
      <w:r>
        <w:rPr>
          <w:lang w:val="en-BE" w:eastAsia="en-BE" w:bidi="ar-SA"/>
        </w:rPr>
        <w:t xml:space="preserve">72 от 14.03.2023); взыскать в пользу ПАО Сбербанк с </w:t>
      </w:r>
      <w:r>
        <w:rPr>
          <w:rStyle w:val="cat-FIOgrp-4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ЛАДОМИРА АНАТОЛЬЕВИЧА: - сумму задолженности по эмиссионному контракту </w:t>
      </w:r>
      <w:r>
        <w:rPr>
          <w:rStyle w:val="cat-UserDefined214274grp-22rplc-15"/>
          <w:lang w:val="en-BE" w:eastAsia="en-BE" w:bidi="ar-SA"/>
        </w:rPr>
        <w:t>...</w:t>
      </w:r>
      <w:r>
        <w:rPr>
          <w:lang w:val="en-BE" w:eastAsia="en-BE" w:bidi="ar-SA"/>
        </w:rPr>
        <w:t xml:space="preserve"> в размере </w:t>
      </w:r>
      <w:r>
        <w:rPr>
          <w:rStyle w:val="cat-Sumgrp-10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судебные расходы по оплате государственной пошлины в размере </w:t>
      </w:r>
      <w:r>
        <w:rPr>
          <w:rStyle w:val="cat-Sumgrp-11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Всего взыскать: 90;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Сб</w:t>
      </w:r>
      <w:r>
        <w:rPr>
          <w:lang w:val="en-BE" w:eastAsia="en-BE" w:bidi="ar-SA"/>
        </w:rPr>
        <w:t>ербанк в лице филиала - Московский Банк ПАО Сбербанк, извещенный надлежащим образом, явку своего представителя в судебное заседание не обеспечил, ходатайствовал о рассмотрении дела в отсутствие представителя.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Гришаков Л.А. извещенный надлежащим об</w:t>
      </w:r>
      <w:r>
        <w:rPr>
          <w:lang w:val="en-BE" w:eastAsia="en-BE" w:bidi="ar-SA"/>
        </w:rPr>
        <w:t>разом, в судебное заседание не явился, возражений относительно заявленных исковых требований не представил.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Третье лицо Центральный банк РФ, извещенный надлежащим образом, явку своего представителя в судебное заседание не обеспечил.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</w:t>
      </w:r>
      <w:r>
        <w:rPr>
          <w:lang w:val="en-BE" w:eastAsia="en-BE" w:bidi="ar-SA"/>
        </w:rPr>
        <w:t>67 ГПК РФ суд определил рассмотреть дело при данной явке.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материалы дела, оценив представленные доказательства в их совокупности, с учетом требований, предусмотренных ст. 56 ГПК РФ, и по правилам, установленным ст. 67 ГПК РФ, суд приходит к след</w:t>
      </w:r>
      <w:r>
        <w:rPr>
          <w:lang w:val="en-BE" w:eastAsia="en-BE" w:bidi="ar-SA"/>
        </w:rPr>
        <w:t>ующему.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ст.12, ч.1 ст.56, ч.1 ст.57 ГПК РФ правосудие по гражданским делам осуществляется на основе состязательности и равноправия сторон. Каждая сторона должна доказать те обстоятельства, на которые она ссылается как на основания свои</w:t>
      </w:r>
      <w:r>
        <w:rPr>
          <w:lang w:val="en-BE" w:eastAsia="en-BE" w:bidi="ar-SA"/>
        </w:rPr>
        <w:t>х требований и возражений. Доказательства представляются сторонами.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также учитывает и то, что по смыслу положений ч.1 ст.68, ч.2 ст.150 ГПК РФ, если сторона, обязанная доказывать свои требования или возражения, удерживает находящиеся у нее доказательст</w:t>
      </w:r>
      <w:r>
        <w:rPr>
          <w:lang w:val="en-BE" w:eastAsia="en-BE" w:bidi="ar-SA"/>
        </w:rPr>
        <w:t>ва и не представляет их суду, суд вправе обосновать свои выводы объяснениями другой стороны. Непредставление ответчиком доказательств и возражений в установленный судом срок не препятствует рассмотрению дела по имеющимся доказательствам.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</w:t>
      </w:r>
      <w:r>
        <w:rPr>
          <w:lang w:val="en-BE" w:eastAsia="en-BE" w:bidi="ar-SA"/>
        </w:rPr>
        <w:t xml:space="preserve"> что 22.07.2014 года ПАО Сбербанк и Гришаков Л.А. заключили эмиссионный контракт </w:t>
      </w:r>
      <w:r>
        <w:rPr>
          <w:rStyle w:val="cat-UserDefined214274grp-22rplc-21"/>
          <w:lang w:val="en-BE" w:eastAsia="en-BE" w:bidi="ar-SA"/>
        </w:rPr>
        <w:t>...</w:t>
      </w:r>
      <w:r>
        <w:rPr>
          <w:lang w:val="en-BE" w:eastAsia="en-BE" w:bidi="ar-SA"/>
        </w:rPr>
        <w:t xml:space="preserve">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</w:t>
      </w:r>
      <w:r>
        <w:rPr>
          <w:lang w:val="en-BE" w:eastAsia="en-BE" w:bidi="ar-SA"/>
        </w:rPr>
        <w:t xml:space="preserve">ких рублях. 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Указанный договор заключен в результате публичной оферты путем оформления Заемщиком заявления на получение кредитной карты, подписания Индивидуальных условий </w:t>
      </w:r>
      <w:r>
        <w:rPr>
          <w:lang w:val="en-BE" w:eastAsia="en-BE" w:bidi="ar-SA"/>
        </w:rPr>
        <w:lastRenderedPageBreak/>
        <w:t>выпуска и обслуживания кредитной карты ПАО Сбербанк, ознакомления его с Общими услови</w:t>
      </w:r>
      <w:r>
        <w:rPr>
          <w:lang w:val="en-BE" w:eastAsia="en-BE" w:bidi="ar-SA"/>
        </w:rPr>
        <w:t xml:space="preserve">ями выпуска и обслуживания кредитной карты ПАО Сбербанк, тарифами Банка и памяткой держателя международных банковских карт. 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 договор, по своему существу, является договором присоединения, основные положения которого в одностороннем порядке сформулир</w:t>
      </w:r>
      <w:r>
        <w:rPr>
          <w:lang w:val="en-BE" w:eastAsia="en-BE" w:bidi="ar-SA"/>
        </w:rPr>
        <w:t>ованы Банком в Общих условиях. Возможность заключения такого договора предусмотрена статьей 428 Гражданского кодекса Российской Федераций.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условиям договора истец (кредитор) предоставил ответчику (заемщику) кредитную карту с кредитным лимитом  в сумме  </w:t>
      </w:r>
      <w:r>
        <w:rPr>
          <w:rStyle w:val="cat-Sumgrp-13rplc-22"/>
          <w:lang w:val="en-BE" w:eastAsia="en-BE" w:bidi="ar-SA"/>
        </w:rPr>
        <w:t>сумма</w:t>
      </w:r>
      <w:r>
        <w:rPr>
          <w:lang w:val="en-BE" w:eastAsia="en-BE" w:bidi="ar-SA"/>
        </w:rPr>
        <w:t>, полная стоимость кредита 20,4 % годовых, что не оспорено ответчиком.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возвратить займодавцу так</w:t>
      </w:r>
      <w:r>
        <w:rPr>
          <w:lang w:val="en-BE" w:eastAsia="en-BE" w:bidi="ar-SA"/>
        </w:rPr>
        <w:t xml:space="preserve">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809 ГК РФ,</w:t>
      </w:r>
      <w:r>
        <w:rPr>
          <w:lang w:val="en-BE" w:eastAsia="en-BE" w:bidi="ar-SA"/>
        </w:rPr>
        <w:t xml:space="preserve"> 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Статьей 810 ГК РФ предусмотрена обязанность заемщика возвратить сумму займа в срок, предусмотренный договором.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</w:t>
      </w:r>
      <w:r>
        <w:rPr>
          <w:lang w:val="en-BE" w:eastAsia="en-BE" w:bidi="ar-SA"/>
        </w:rPr>
        <w:t>тветствии с п.1 ст.819, ст.820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</w:t>
      </w:r>
      <w:r>
        <w:rPr>
          <w:lang w:val="en-BE" w:eastAsia="en-BE" w:bidi="ar-SA"/>
        </w:rPr>
        <w:t xml:space="preserve">роценты за нее. Кредитный договор должен быть заключен в письменной форме. 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</w:t>
      </w:r>
      <w:r>
        <w:rPr>
          <w:lang w:val="en-BE" w:eastAsia="en-BE" w:bidi="ar-SA"/>
        </w:rPr>
        <w:t>полнения обязательства и одностороннее изменение его условий не допускаются.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Положениями статьи 845 ГК РФ предусмотрено, что по договору банковского счета банк обязуется принимать и зачислять поступающие на счет, открытый клиенту (владельцу счета), денежны</w:t>
      </w:r>
      <w:r>
        <w:rPr>
          <w:lang w:val="en-BE" w:eastAsia="en-BE" w:bidi="ar-SA"/>
        </w:rPr>
        <w:t>е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средств клиента и устанавливать другие, не</w:t>
      </w:r>
      <w:r>
        <w:rPr>
          <w:lang w:val="en-BE" w:eastAsia="en-BE" w:bidi="ar-SA"/>
        </w:rPr>
        <w:t xml:space="preserve">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 Гришаков Л.А. был ознакомлен с условиями использования карт ПАО Сбербанк и обязался их выполнять</w:t>
      </w:r>
      <w:r>
        <w:rPr>
          <w:lang w:val="en-BE" w:eastAsia="en-BE" w:bidi="ar-SA"/>
        </w:rPr>
        <w:t>, о чем собственноручно расписался в заявлении на получение кредитной карты, индивидуальных условиях выпуска и обслуживания кредитной карты ПАО Сбербанк, информации о полной стоимости кредита.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считает доказанным факт получения кредита Гришаковым Л.А., </w:t>
      </w:r>
      <w:r>
        <w:rPr>
          <w:lang w:val="en-BE" w:eastAsia="en-BE" w:bidi="ar-SA"/>
        </w:rPr>
        <w:t xml:space="preserve">что подтверждается: расчетом задолженности по состоянию на 18.04.2023, выпиской по счету, заявлением заемщика на получение кредитной карты, индивидуальными условиями выпуска и обслуживания кредитной карты, информацией о полной стоимости кредита, условиями </w:t>
      </w:r>
      <w:r>
        <w:rPr>
          <w:lang w:val="en-BE" w:eastAsia="en-BE" w:bidi="ar-SA"/>
        </w:rPr>
        <w:t>выпуска и обслуживания  кредитной карты, требованием о досрочном возврате кредита, что не оспорено ответчиком.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Оценивая представленные доказательства в их совокупности, руководствуясь положениями ст.ст. 309-310 ГК РФ, согласно которым обязательства должны </w:t>
      </w:r>
      <w:r>
        <w:rPr>
          <w:lang w:val="en-BE" w:eastAsia="en-BE" w:bidi="ar-SA"/>
        </w:rPr>
        <w:t xml:space="preserve">исполняться надлежащим образом, суд считает, что истец представил достаточные доказательства в </w:t>
      </w:r>
      <w:r>
        <w:rPr>
          <w:lang w:val="en-BE" w:eastAsia="en-BE" w:bidi="ar-SA"/>
        </w:rPr>
        <w:lastRenderedPageBreak/>
        <w:t>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</w:t>
      </w:r>
      <w:r>
        <w:rPr>
          <w:lang w:val="en-BE" w:eastAsia="en-BE" w:bidi="ar-SA"/>
        </w:rPr>
        <w:t>авил доказательств о погашении задолженности, предъявленной к взысканию.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считает, что  ответчик,  заключив с ПАО Сбербанк договор  на выпуск и обслуживание  кредитной карты взял  на себя обязательства  надлежащим образом  осуществлять  погашение задолж</w:t>
      </w:r>
      <w:r>
        <w:rPr>
          <w:lang w:val="en-BE" w:eastAsia="en-BE" w:bidi="ar-SA"/>
        </w:rPr>
        <w:t>енности  по договору, а именно осуществлять  возврат  суммы кредита  в полном объеме, уплачивать  проценты за пользование  кредитом  за весь  фактический  срок пользования кредитом, начисляемые банком, уплачивать штрафы, предусмотренные  договором.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соот</w:t>
      </w:r>
      <w:r>
        <w:rPr>
          <w:lang w:val="en-BE" w:eastAsia="en-BE" w:bidi="ar-SA"/>
        </w:rPr>
        <w:t>ветствии со ст.56 ГПК РФ, каждая сторона должна представить в суд доказательства в подтверждение своих доводов и возражений.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сведениям о движении денежных средств по счету Заемщика по состоянию на 18.04.2023 погашение кредита производилось Заемщик</w:t>
      </w:r>
      <w:r>
        <w:rPr>
          <w:lang w:val="en-BE" w:eastAsia="en-BE" w:bidi="ar-SA"/>
        </w:rPr>
        <w:t xml:space="preserve">ом не регулярно, недостаточными для погашения задолженности суммами с просрочками платежей, общая сумма задолженности по эмиссионному контракту №0910-Р-3083931130 состоянию на 18.04.2023 составляет </w:t>
      </w:r>
      <w:r>
        <w:rPr>
          <w:rStyle w:val="cat-Sumgrp-14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том числе: просроченный основной долг – </w:t>
      </w:r>
      <w:r>
        <w:rPr>
          <w:rStyle w:val="cat-Sumgrp-15rplc-26"/>
          <w:lang w:val="en-BE" w:eastAsia="en-BE" w:bidi="ar-SA"/>
        </w:rPr>
        <w:t>сумма</w:t>
      </w:r>
      <w:r>
        <w:rPr>
          <w:lang w:val="en-BE" w:eastAsia="en-BE" w:bidi="ar-SA"/>
        </w:rPr>
        <w:t>; про</w:t>
      </w:r>
      <w:r>
        <w:rPr>
          <w:lang w:val="en-BE" w:eastAsia="en-BE" w:bidi="ar-SA"/>
        </w:rPr>
        <w:t xml:space="preserve">сроченные проценты – </w:t>
      </w:r>
      <w:r>
        <w:rPr>
          <w:rStyle w:val="cat-Sumgrp-16rplc-27"/>
          <w:lang w:val="en-BE" w:eastAsia="en-BE" w:bidi="ar-SA"/>
        </w:rPr>
        <w:t>сумма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изложенное, на основе анализа фактических обстоятельств дела, юридически значимых обстоятельств,  оценивая представленные доказательства в совокупности, суд находит требование ПАО Сбербанк о взыскании задолженности  обос</w:t>
      </w:r>
      <w:r>
        <w:rPr>
          <w:lang w:val="en-BE" w:eastAsia="en-BE" w:bidi="ar-SA"/>
        </w:rPr>
        <w:t>нованным и подлежащим удовлетворению.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общая сумма, подлежащая взысканию с ответчика в пользу истца в счет погашения кредитной задолженности, составляет </w:t>
      </w:r>
      <w:r>
        <w:rPr>
          <w:rStyle w:val="cat-Sumgrp-14rplc-28"/>
          <w:lang w:val="en-BE" w:eastAsia="en-BE" w:bidi="ar-SA"/>
        </w:rPr>
        <w:t>сумма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ст.98 ГПК РФ, стороне,  в пользу которой состоялось решение суда,</w:t>
      </w:r>
      <w:r>
        <w:rPr>
          <w:lang w:val="en-BE" w:eastAsia="en-BE" w:bidi="ar-SA"/>
        </w:rPr>
        <w:t xml:space="preserve"> суд присуждает возместить понесенные по делу расходы пропорционально размеру удовлетворенных судом исковых требований.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при подаче искового заявления в суд оплачена государственная пошлина в размере </w:t>
      </w:r>
      <w:r>
        <w:rPr>
          <w:rStyle w:val="cat-Sumgrp-17rplc-29"/>
          <w:lang w:val="en-BE" w:eastAsia="en-BE" w:bidi="ar-SA"/>
        </w:rPr>
        <w:t>сумма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 ответчика в пользу истца по</w:t>
      </w:r>
      <w:r>
        <w:rPr>
          <w:lang w:val="en-BE" w:eastAsia="en-BE" w:bidi="ar-SA"/>
        </w:rPr>
        <w:t xml:space="preserve">длежат взысканию расходы по оплате государственной пошлины при подаче искового заявления в размере </w:t>
      </w:r>
      <w:r>
        <w:rPr>
          <w:rStyle w:val="cat-Sumgrp-18rplc-30"/>
          <w:lang w:val="en-BE" w:eastAsia="en-BE" w:bidi="ar-SA"/>
        </w:rPr>
        <w:t>сумма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1,10,167,168,179,309,310, 329,330,420,421,424,425,432,433,435,438,807-811 ГК РФ, ст. 333.19 НК РФ, ст.</w:t>
      </w:r>
      <w:r>
        <w:rPr>
          <w:lang w:val="en-BE" w:eastAsia="en-BE" w:bidi="ar-SA"/>
        </w:rPr>
        <w:t>ст. 12, 56,57,67,98,150,167,193-199 ГПК РФ,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РЕШИЛ: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- Московский Банк ПАО Сбербанк к </w:t>
      </w:r>
      <w:r>
        <w:rPr>
          <w:rStyle w:val="cat-FIOgrp-4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UserDefined214271grp-19rplc-32"/>
          <w:lang w:val="en-BE" w:eastAsia="en-BE" w:bidi="ar-SA"/>
        </w:rPr>
        <w:t>...</w:t>
      </w:r>
      <w:r>
        <w:rPr>
          <w:lang w:val="en-BE" w:eastAsia="en-BE" w:bidi="ar-SA"/>
        </w:rPr>
        <w:t xml:space="preserve">у о взыскании ссудной задолженности по эмиссионному контракту </w:t>
      </w:r>
      <w:r>
        <w:rPr>
          <w:lang w:val="en-BE" w:eastAsia="en-BE" w:bidi="ar-SA"/>
        </w:rPr>
        <w:t xml:space="preserve">- удовлетворить. </w:t>
      </w:r>
    </w:p>
    <w:p w:rsidR="00000000" w:rsidRDefault="007D4C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4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UserDefined214273grp-21rplc-34"/>
          <w:lang w:val="en-BE" w:eastAsia="en-BE" w:bidi="ar-SA"/>
        </w:rPr>
        <w:t>...</w:t>
      </w:r>
      <w:r>
        <w:rPr>
          <w:lang w:val="en-BE" w:eastAsia="en-BE" w:bidi="ar-SA"/>
        </w:rPr>
        <w:t xml:space="preserve"> в пользу ПАО Сбербанк в лице филиала - Московский Банк ПАО Сбербанк сумму задолженности по эмиссионному контракту </w:t>
      </w:r>
      <w:r>
        <w:rPr>
          <w:rStyle w:val="cat-UserDefined214274grp-22rplc-35"/>
          <w:lang w:val="en-BE" w:eastAsia="en-BE" w:bidi="ar-SA"/>
        </w:rPr>
        <w:t>...</w:t>
      </w:r>
      <w:r>
        <w:rPr>
          <w:lang w:val="en-BE" w:eastAsia="en-BE" w:bidi="ar-SA"/>
        </w:rPr>
        <w:t xml:space="preserve">  от 22.07.2014 в размере  </w:t>
      </w:r>
      <w:r>
        <w:rPr>
          <w:rStyle w:val="cat-Sumgrp-14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 </w:t>
      </w:r>
      <w:r>
        <w:rPr>
          <w:rStyle w:val="cat-Sumgrp-18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7D4C2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</w:t>
      </w:r>
      <w:r>
        <w:rPr>
          <w:lang w:val="en-BE" w:eastAsia="en-BE" w:bidi="ar-SA"/>
        </w:rPr>
        <w:t xml:space="preserve">может быть обжаловано в апелляционном порядке в Московский городской суд через Зеленоградский районный суд </w:t>
      </w:r>
      <w:r>
        <w:rPr>
          <w:rStyle w:val="cat-Addressgrp-1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7D4C2D">
      <w:pPr>
        <w:ind w:firstLine="567"/>
        <w:jc w:val="both"/>
        <w:rPr>
          <w:lang w:val="en-BE" w:eastAsia="en-BE" w:bidi="ar-SA"/>
        </w:rPr>
      </w:pPr>
    </w:p>
    <w:p w:rsidR="00000000" w:rsidRDefault="007D4C2D">
      <w:pPr>
        <w:ind w:firstLine="567"/>
        <w:jc w:val="both"/>
        <w:rPr>
          <w:lang w:val="en-BE" w:eastAsia="en-BE" w:bidi="ar-SA"/>
        </w:rPr>
      </w:pPr>
    </w:p>
    <w:p w:rsidR="00000000" w:rsidRDefault="007D4C2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                </w:t>
      </w:r>
      <w:r>
        <w:rPr>
          <w:lang w:val="en-BE" w:eastAsia="en-BE" w:bidi="ar-SA"/>
        </w:rPr>
        <w:t xml:space="preserve">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А.Р. Абалакин</w:t>
      </w:r>
    </w:p>
    <w:p w:rsidR="00000000" w:rsidRDefault="007D4C2D">
      <w:pPr>
        <w:ind w:firstLine="426"/>
        <w:jc w:val="both"/>
        <w:rPr>
          <w:lang w:val="en-BE" w:eastAsia="en-BE" w:bidi="ar-SA"/>
        </w:rPr>
      </w:pPr>
    </w:p>
    <w:p w:rsidR="00000000" w:rsidRDefault="007D4C2D">
      <w:pPr>
        <w:ind w:firstLine="426"/>
        <w:jc w:val="both"/>
        <w:rPr>
          <w:lang w:val="en-BE" w:eastAsia="en-BE" w:bidi="ar-SA"/>
        </w:rPr>
      </w:pPr>
    </w:p>
    <w:p w:rsidR="00000000" w:rsidRDefault="007D4C2D">
      <w:pPr>
        <w:ind w:firstLine="426"/>
        <w:jc w:val="both"/>
        <w:rPr>
          <w:lang w:val="en-BE" w:eastAsia="en-BE" w:bidi="ar-SA"/>
        </w:rPr>
      </w:pPr>
    </w:p>
    <w:p w:rsidR="00000000" w:rsidRDefault="007D4C2D">
      <w:pPr>
        <w:ind w:firstLine="426"/>
        <w:jc w:val="both"/>
        <w:rPr>
          <w:lang w:val="en-BE" w:eastAsia="en-BE" w:bidi="ar-SA"/>
        </w:rPr>
      </w:pPr>
    </w:p>
    <w:p w:rsidR="00000000" w:rsidRDefault="007D4C2D">
      <w:pPr>
        <w:ind w:firstLine="426"/>
        <w:jc w:val="both"/>
        <w:rPr>
          <w:lang w:val="en-BE" w:eastAsia="en-BE" w:bidi="ar-SA"/>
        </w:rPr>
      </w:pPr>
    </w:p>
    <w:p w:rsidR="00000000" w:rsidRDefault="007D4C2D">
      <w:pPr>
        <w:ind w:firstLine="426"/>
        <w:jc w:val="both"/>
        <w:rPr>
          <w:lang w:val="en-BE" w:eastAsia="en-BE" w:bidi="ar-SA"/>
        </w:rPr>
      </w:pPr>
    </w:p>
    <w:p w:rsidR="00000000" w:rsidRDefault="007D4C2D">
      <w:pPr>
        <w:ind w:firstLine="426"/>
        <w:jc w:val="both"/>
        <w:rPr>
          <w:lang w:val="en-BE" w:eastAsia="en-BE" w:bidi="ar-SA"/>
        </w:rPr>
      </w:pPr>
    </w:p>
    <w:p w:rsidR="00000000" w:rsidRDefault="007D4C2D">
      <w:pPr>
        <w:ind w:firstLine="426"/>
        <w:jc w:val="both"/>
        <w:rPr>
          <w:lang w:val="en-BE" w:eastAsia="en-BE" w:bidi="ar-SA"/>
        </w:rPr>
      </w:pPr>
    </w:p>
    <w:p w:rsidR="00000000" w:rsidRDefault="007D4C2D">
      <w:pPr>
        <w:jc w:val="both"/>
        <w:rPr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7D4C2D">
      <w:r>
        <w:separator/>
      </w:r>
    </w:p>
  </w:endnote>
  <w:endnote w:type="continuationSeparator" w:id="0">
    <w:p w:rsidR="00000000" w:rsidRDefault="007D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7D4C2D">
    <w:pPr>
      <w:spacing w:after="200" w:line="276" w:lineRule="auto"/>
      <w:jc w:val="right"/>
      <w:rPr>
        <w:sz w:val="22"/>
        <w:szCs w:val="22"/>
        <w:lang w:val="en-BE" w:eastAsia="en-BE" w:bidi="ar-SA"/>
      </w:rPr>
    </w:pPr>
  </w:p>
  <w:p w:rsidR="00000000" w:rsidRDefault="007D4C2D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7D4C2D">
      <w:r>
        <w:separator/>
      </w:r>
    </w:p>
  </w:footnote>
  <w:footnote w:type="continuationSeparator" w:id="0">
    <w:p w:rsidR="00000000" w:rsidRDefault="007D4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4C2D"/>
    <w:rsid w:val="007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A7414229-33C0-4C12-A303-A8671A60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FIOgrp-4rplc-4">
    <w:name w:val="cat-FIO grp-4 rplc-4"/>
    <w:basedOn w:val="a0"/>
  </w:style>
  <w:style w:type="character" w:customStyle="1" w:styleId="cat-UserDefined214271grp-19rplc-5">
    <w:name w:val="cat-UserDefined214271 grp-19 rplc-5"/>
    <w:basedOn w:val="a0"/>
  </w:style>
  <w:style w:type="character" w:customStyle="1" w:styleId="cat-FIOgrp-4rplc-6">
    <w:name w:val="cat-FIO grp-4 rplc-6"/>
    <w:basedOn w:val="a0"/>
  </w:style>
  <w:style w:type="character" w:customStyle="1" w:styleId="cat-UserDefined214271grp-19rplc-7">
    <w:name w:val="cat-UserDefined214271 grp-19 rplc-7"/>
    <w:basedOn w:val="a0"/>
  </w:style>
  <w:style w:type="character" w:customStyle="1" w:styleId="cat-FIOgrp-4rplc-8">
    <w:name w:val="cat-FIO grp-4 rplc-8"/>
    <w:basedOn w:val="a0"/>
  </w:style>
  <w:style w:type="character" w:customStyle="1" w:styleId="cat-UserDefined214272grp-20rplc-9">
    <w:name w:val="cat-UserDefined214272 grp-20 rplc-9"/>
    <w:basedOn w:val="a0"/>
  </w:style>
  <w:style w:type="character" w:customStyle="1" w:styleId="cat-UserDefined214274grp-22rplc-10">
    <w:name w:val="cat-UserDefined214274 grp-22 rplc-10"/>
    <w:basedOn w:val="a0"/>
  </w:style>
  <w:style w:type="character" w:customStyle="1" w:styleId="cat-Sumgrp-7rplc-11">
    <w:name w:val="cat-Sum grp-7 rplc-11"/>
    <w:basedOn w:val="a0"/>
  </w:style>
  <w:style w:type="character" w:customStyle="1" w:styleId="cat-Sumgrp-8rplc-12">
    <w:name w:val="cat-Sum grp-8 rplc-12"/>
    <w:basedOn w:val="a0"/>
  </w:style>
  <w:style w:type="character" w:customStyle="1" w:styleId="cat-Sumgrp-9rplc-13">
    <w:name w:val="cat-Sum grp-9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UserDefined214274grp-22rplc-15">
    <w:name w:val="cat-UserDefined214274 grp-22 rplc-15"/>
    <w:basedOn w:val="a0"/>
  </w:style>
  <w:style w:type="character" w:customStyle="1" w:styleId="cat-Sumgrp-10rplc-16">
    <w:name w:val="cat-Sum grp-10 rplc-16"/>
    <w:basedOn w:val="a0"/>
  </w:style>
  <w:style w:type="character" w:customStyle="1" w:styleId="cat-Sumgrp-11rplc-17">
    <w:name w:val="cat-Sum grp-11 rplc-17"/>
    <w:basedOn w:val="a0"/>
  </w:style>
  <w:style w:type="character" w:customStyle="1" w:styleId="cat-Sumgrp-12rplc-18">
    <w:name w:val="cat-Sum grp-12 rplc-18"/>
    <w:basedOn w:val="a0"/>
  </w:style>
  <w:style w:type="character" w:customStyle="1" w:styleId="cat-UserDefined214274grp-22rplc-21">
    <w:name w:val="cat-UserDefined214274 grp-22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Sumgrp-14rplc-25">
    <w:name w:val="cat-Sum grp-14 rplc-25"/>
    <w:basedOn w:val="a0"/>
  </w:style>
  <w:style w:type="character" w:customStyle="1" w:styleId="cat-Sumgrp-15rplc-26">
    <w:name w:val="cat-Sum grp-15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4rplc-28">
    <w:name w:val="cat-Sum grp-14 rplc-28"/>
    <w:basedOn w:val="a0"/>
  </w:style>
  <w:style w:type="character" w:customStyle="1" w:styleId="cat-Sumgrp-17rplc-29">
    <w:name w:val="cat-Sum grp-17 rplc-29"/>
    <w:basedOn w:val="a0"/>
  </w:style>
  <w:style w:type="character" w:customStyle="1" w:styleId="cat-Sumgrp-18rplc-30">
    <w:name w:val="cat-Sum grp-18 rplc-30"/>
    <w:basedOn w:val="a0"/>
  </w:style>
  <w:style w:type="character" w:customStyle="1" w:styleId="cat-FIOgrp-4rplc-31">
    <w:name w:val="cat-FIO grp-4 rplc-31"/>
    <w:basedOn w:val="a0"/>
  </w:style>
  <w:style w:type="character" w:customStyle="1" w:styleId="cat-UserDefined214271grp-19rplc-32">
    <w:name w:val="cat-UserDefined214271 grp-19 rplc-32"/>
    <w:basedOn w:val="a0"/>
  </w:style>
  <w:style w:type="character" w:customStyle="1" w:styleId="cat-FIOgrp-4rplc-33">
    <w:name w:val="cat-FIO grp-4 rplc-33"/>
    <w:basedOn w:val="a0"/>
  </w:style>
  <w:style w:type="character" w:customStyle="1" w:styleId="cat-UserDefined214273grp-21rplc-34">
    <w:name w:val="cat-UserDefined214273 grp-21 rplc-34"/>
    <w:basedOn w:val="a0"/>
  </w:style>
  <w:style w:type="character" w:customStyle="1" w:styleId="cat-UserDefined214274grp-22rplc-35">
    <w:name w:val="cat-UserDefined214274 grp-22 rplc-35"/>
    <w:basedOn w:val="a0"/>
  </w:style>
  <w:style w:type="character" w:customStyle="1" w:styleId="cat-Sumgrp-14rplc-36">
    <w:name w:val="cat-Sum grp-14 rplc-36"/>
    <w:basedOn w:val="a0"/>
  </w:style>
  <w:style w:type="character" w:customStyle="1" w:styleId="cat-Sumgrp-18rplc-37">
    <w:name w:val="cat-Sum grp-18 rplc-37"/>
    <w:basedOn w:val="a0"/>
  </w:style>
  <w:style w:type="character" w:customStyle="1" w:styleId="cat-Addressgrp-1rplc-38">
    <w:name w:val="cat-Address grp-1 rplc-3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2030</Words>
  <Characters>11572</Characters>
  <Application>Microsoft Office Word</Application>
  <DocSecurity>0</DocSecurity>
  <Lines>96</Lines>
  <Paragraphs>27</Paragraphs>
  <ScaleCrop>false</ScaleCrop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