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4346D3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4346D3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20 апреля 2022 года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</w:t>
      </w:r>
      <w:r>
        <w:rPr>
          <w:lang w:val="en-BE" w:eastAsia="en-BE" w:bidi="ar-SA"/>
        </w:rPr>
        <w:t xml:space="preserve">429/2022 по исковому заявлению ПАО «Сбербанк России» в лице филиала Московского банка ПАО «Сбербанк» к наследственному имуществу умершей Кузнецовой Ольги Алексеевны о взыскании ссудной задолженность по кредитному договору, 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</w:t>
      </w:r>
      <w:r>
        <w:rPr>
          <w:lang w:val="en-BE" w:eastAsia="en-BE" w:bidi="ar-SA"/>
        </w:rPr>
        <w:t xml:space="preserve">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наследственному имуществу умершей Кузнецовой О.А. в лице </w:t>
      </w:r>
      <w:r>
        <w:rPr>
          <w:rStyle w:val="cat-FIOgrp-6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действующего в своих интересах и интересах несовершеннолетней </w:t>
      </w:r>
      <w:r>
        <w:rPr>
          <w:rStyle w:val="cat-FIOgrp-7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задолженность по кредитному договору №0910-Р-118070817</w:t>
      </w:r>
      <w:r>
        <w:rPr>
          <w:lang w:val="en-BE" w:eastAsia="en-BE" w:bidi="ar-SA"/>
        </w:rPr>
        <w:t xml:space="preserve">40 от 20 сентября 2018 года в сумме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на оплату государственной пошлины в сумме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вышеназванному кредитному договору и наличия у последнего к моменту смерти непогашенной кредитной задолж</w:t>
      </w:r>
      <w:r>
        <w:rPr>
          <w:lang w:val="en-BE" w:eastAsia="en-BE" w:bidi="ar-SA"/>
        </w:rPr>
        <w:t xml:space="preserve">енности в истребуемой банком сумме.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гражданского дела по существу был извещен надлежащим образом</w:t>
      </w:r>
      <w:r>
        <w:rPr>
          <w:lang w:val="en-BE" w:eastAsia="en-BE" w:bidi="ar-SA"/>
        </w:rPr>
        <w:t>, в судебное заседание не явился по неизвестной суду причине.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его несовершеннолетняя дочь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судебное заседание явились, ответчик </w:t>
      </w:r>
      <w:r>
        <w:rPr>
          <w:rStyle w:val="cat-FIOgrp-8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исковые требования признал в полном объеме.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</w:t>
      </w:r>
      <w:r>
        <w:rPr>
          <w:lang w:val="en-BE" w:eastAsia="en-BE" w:bidi="ar-SA"/>
        </w:rPr>
        <w:t xml:space="preserve">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ответчика, исследовав письменные материалы гражданского дела, оценив в с</w:t>
      </w:r>
      <w:r>
        <w:rPr>
          <w:lang w:val="en-BE" w:eastAsia="en-BE" w:bidi="ar-SA"/>
        </w:rPr>
        <w:t xml:space="preserve">овокупности представленные по делу доказательства, и установив значимые для дела обстоятельства, приходит к следующему.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</w:t>
      </w:r>
      <w:r>
        <w:rPr>
          <w:lang w:val="en-BE" w:eastAsia="en-BE" w:bidi="ar-SA"/>
        </w:rPr>
        <w:t xml:space="preserve">ями закона,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</w:t>
      </w:r>
      <w:r>
        <w:rPr>
          <w:lang w:val="en-BE" w:eastAsia="en-BE" w:bidi="ar-SA"/>
        </w:rPr>
        <w:t>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</w:t>
      </w:r>
      <w:r>
        <w:rPr>
          <w:lang w:val="en-BE" w:eastAsia="en-BE" w:bidi="ar-SA"/>
        </w:rPr>
        <w:t>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</w:t>
      </w:r>
      <w:r>
        <w:rPr>
          <w:lang w:val="en-BE" w:eastAsia="en-BE" w:bidi="ar-SA"/>
        </w:rPr>
        <w:t xml:space="preserve">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</w:t>
      </w:r>
      <w:r>
        <w:rPr>
          <w:lang w:val="en-BE" w:eastAsia="en-BE" w:bidi="ar-SA"/>
        </w:rPr>
        <w:t>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</w:t>
        </w:r>
        <w:r>
          <w:rPr>
            <w:color w:val="0000EE"/>
            <w:u w:val="single" w:color="0000EE"/>
            <w:lang w:val="en-BE" w:eastAsia="en-BE" w:bidi="ar-SA"/>
          </w:rPr>
          <w:t>тавкой рефинансирования</w:t>
        </w:r>
      </w:hyperlink>
      <w:r>
        <w:rPr>
          <w:lang w:val="en-BE" w:eastAsia="en-BE" w:bidi="ar-SA"/>
        </w:rP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следует из ст. 810 ГК РФ, заемщик обязан возвратить займодавцу</w:t>
      </w:r>
      <w:r>
        <w:rPr>
          <w:lang w:val="en-BE" w:eastAsia="en-BE" w:bidi="ar-SA"/>
        </w:rPr>
        <w:t xml:space="preserve">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</w:t>
      </w:r>
      <w:r>
        <w:rPr>
          <w:lang w:val="en-BE" w:eastAsia="en-BE" w:bidi="ar-SA"/>
        </w:rPr>
        <w:t>ъявления займодавцем требования об этом, если иное не предусмотрено договором.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</w:t>
      </w:r>
      <w:r>
        <w:rPr>
          <w:lang w:val="en-BE" w:eastAsia="en-BE" w:bidi="ar-SA"/>
        </w:rPr>
        <w:t>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</w:t>
      </w:r>
      <w:r>
        <w:rPr>
          <w:lang w:val="en-BE" w:eastAsia="en-BE" w:bidi="ar-SA"/>
        </w:rPr>
        <w:t>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20 сентября 2018 года между ПАО «Сбербанк России» в лице филиала Мос</w:t>
      </w:r>
      <w:r>
        <w:rPr>
          <w:lang w:val="en-BE" w:eastAsia="en-BE" w:bidi="ar-SA"/>
        </w:rPr>
        <w:t>ковского банка ПАО «Сбербанк» (далее по тексту истец) и Кузнецовой О.А. (далее по тексту заемщик) был заключен договор №0910-Р-11807081740 на предоставление возобновляемой кредитной линии посредством выдачи банковской карты с предоставленным по неё кредито</w:t>
      </w:r>
      <w:r>
        <w:rPr>
          <w:lang w:val="en-BE" w:eastAsia="en-BE" w:bidi="ar-SA"/>
        </w:rPr>
        <w:t>м и обслуживанием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 и обслуживания кредитной карты, тарифами банка и пам</w:t>
      </w:r>
      <w:r>
        <w:rPr>
          <w:lang w:val="en-BE" w:eastAsia="en-BE" w:bidi="ar-SA"/>
        </w:rPr>
        <w:t>яткой держателя международных банковских карт.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указанного кредитного договора заемщику были выданы: кредитная карта с допустимым кредитным лимитом, условия предоставления и возврата, и информация о полной стоимости кредита прилагаемой к услов</w:t>
      </w:r>
      <w:r>
        <w:rPr>
          <w:lang w:val="en-BE" w:eastAsia="en-BE" w:bidi="ar-SA"/>
        </w:rPr>
        <w:t>иям и в Тарифах банка. Также заемщику был открыт кредитный счет для отражения операций проводимых с использованием международной кредитной карты.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заемщик, ознакомившись с условиями предоставления кредитной карты, подписал все представленные докуме</w:t>
      </w:r>
      <w:r>
        <w:rPr>
          <w:lang w:val="en-BE" w:eastAsia="en-BE" w:bidi="ar-SA"/>
        </w:rPr>
        <w:t>нты, в том числе условия предоставления и возврата, и информация о полной стоимости кредита прилагаемой к условиям и в Тарифах банка.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заемщик был в полном объеме ознакомлен с информацией о полной стоимости кредита, условиями выпуска и обслужи</w:t>
      </w:r>
      <w:r>
        <w:rPr>
          <w:lang w:val="en-BE" w:eastAsia="en-BE" w:bidi="ar-SA"/>
        </w:rPr>
        <w:t>вания кредитной карты, тарифами банка и памяткой держателя карты, о чем свидетельствует личная подпись, выполненная от имени заемщика на вышеуказанных документах.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лицевому счету кредитной карты выданной на имя заемщика, в течение срока </w:t>
      </w:r>
      <w:r>
        <w:rPr>
          <w:lang w:val="en-BE" w:eastAsia="en-BE" w:bidi="ar-SA"/>
        </w:rPr>
        <w:t>действия договора заемщик неоднократно нарушал условия договора на предоставление возобновляемой кредитной линии, в части сроков и сумм ежемесячных платежей.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заемщиком нарушений кредитного договора, у заемщика перед истцом образовал</w:t>
      </w:r>
      <w:r>
        <w:rPr>
          <w:lang w:val="en-BE" w:eastAsia="en-BE" w:bidi="ar-SA"/>
        </w:rPr>
        <w:t xml:space="preserve">ась задолженность по договору на предоставление возобновляемой кредитной линии. Согласно расчету задолженности по состоянию на 17 декабря 2021 года задолженность по кредитной карте составляет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период действия кредитной карты, 31 января 2021 года </w:t>
      </w:r>
      <w:r>
        <w:rPr>
          <w:lang w:val="en-BE" w:eastAsia="en-BE" w:bidi="ar-SA"/>
        </w:rPr>
        <w:t xml:space="preserve">заемщик Кузнецова О.А.  умерла.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рамках открытого наследственного дела к имуществу умершей Кузнецовой О.А. №61/2021, находящегося в производстве нотариуса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9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наследниками принявшими наследство после смерти наследодателя приходится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несоверше</w:t>
      </w:r>
      <w:r>
        <w:rPr>
          <w:lang w:val="en-BE" w:eastAsia="en-BE" w:bidi="ar-SA"/>
        </w:rPr>
        <w:t xml:space="preserve">ннолетняя дочь </w:t>
      </w:r>
      <w:r>
        <w:rPr>
          <w:rStyle w:val="cat-FIOgrp-7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</w:t>
      </w:r>
      <w:r>
        <w:rPr>
          <w:lang w:val="en-BE" w:eastAsia="en-BE" w:bidi="ar-SA"/>
        </w:rPr>
        <w:t>роизведено без личного участия должника либо обязательство иным образом неразрывно связано с личностью должника.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ст. 1</w:t>
        </w:r>
        <w:r>
          <w:rPr>
            <w:color w:val="0000EE"/>
            <w:lang w:val="en-BE" w:eastAsia="en-BE" w:bidi="ar-SA"/>
          </w:rPr>
          <w:t>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по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</w:t>
      </w:r>
      <w:r>
        <w:rPr>
          <w:lang w:val="en-BE" w:eastAsia="en-BE" w:bidi="ar-SA"/>
        </w:rPr>
        <w:t xml:space="preserve">вания к принявшим наследство наследникам в пределах сроков исковой давности, установленных для соответствующих требований </w:t>
      </w:r>
      <w:hyperlink r:id="rId16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</w:t>
      </w:r>
      <w:r>
        <w:rPr>
          <w:lang w:val="en-BE" w:eastAsia="en-BE" w:bidi="ar-SA"/>
        </w:rPr>
        <w:t>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8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разъяснен</w:t>
      </w:r>
      <w:r>
        <w:rPr>
          <w:lang w:val="en-BE" w:eastAsia="en-BE" w:bidi="ar-SA"/>
        </w:rPr>
        <w:t xml:space="preserve">иями, данными в </w:t>
      </w:r>
      <w:hyperlink r:id="rId1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</w:t>
      </w:r>
      <w:r>
        <w:rPr>
          <w:lang w:val="en-BE" w:eastAsia="en-BE" w:bidi="ar-SA"/>
        </w:rPr>
        <w:t>симо от основания наследования и способа принятия наследства. Принявшие наследство наследники должника становятся солидарными должниками (</w:t>
      </w:r>
      <w:hyperlink r:id="rId2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перешедшего к ним наследственного имущества.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вышеизложенного, поскольку ответчик фактически принял наследство, открывшееся после смерти наследодателя Кузнецовой О.А</w:t>
      </w:r>
      <w:r>
        <w:rPr>
          <w:lang w:val="en-BE" w:eastAsia="en-BE" w:bidi="ar-SA"/>
        </w:rPr>
        <w:t xml:space="preserve">., и представляет интересы несовершеннолетнего наследника </w:t>
      </w:r>
      <w:r>
        <w:rPr>
          <w:rStyle w:val="cat-FIOgrp-7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, следовательно, в силу действующего законодательства ответчик </w:t>
      </w:r>
      <w:r>
        <w:rPr>
          <w:rStyle w:val="cat-FIOgrp-8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несет ответственность перед кредитором ПАО «Сбербанк России», по долгам наследодателя.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</w:t>
      </w:r>
      <w:r>
        <w:rPr>
          <w:lang w:val="en-BE" w:eastAsia="en-BE" w:bidi="ar-SA"/>
        </w:rPr>
        <w:t xml:space="preserve"> истец полностью выполнил, предоставил предусмотренные договором денежные средства заемщику.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в адрес ответчика было направлено требование о досрочном взыскании суммы кредита, процентов за пользование кредитом и уплате неустойки, однако до настоящего</w:t>
      </w:r>
      <w:r>
        <w:rPr>
          <w:lang w:val="en-BE" w:eastAsia="en-BE" w:bidi="ar-SA"/>
        </w:rPr>
        <w:t xml:space="preserve"> времени данное требование ответчиком не исполнено.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 В связи с</w:t>
      </w:r>
      <w:r>
        <w:rPr>
          <w:lang w:val="en-BE" w:eastAsia="en-BE" w:bidi="ar-SA"/>
        </w:rPr>
        <w:t xml:space="preserve"> нарушением ответчиком взятых на себя обязательств по возврату денежных средств и оплате процентов, перед истцом образовалась задолженность. При этом суд соглашается с представленным истцом расчетом задолженности.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оценивая собран</w:t>
      </w:r>
      <w:r>
        <w:rPr>
          <w:lang w:val="en-BE" w:eastAsia="en-BE" w:bidi="ar-SA"/>
        </w:rPr>
        <w:t>ные по делу доказательства, суд приходит к выводу, что ответчик, как наследник, принявший наследство после смерти Кузнецовой О.А. и обязанность отвечать перед банком за задолженность наследодателя по кредитному договору, нарушил принятые на себя обязательс</w:t>
      </w:r>
      <w:r>
        <w:rPr>
          <w:lang w:val="en-BE" w:eastAsia="en-BE" w:bidi="ar-SA"/>
        </w:rPr>
        <w:t xml:space="preserve">тва, следовательно, в силу действующего законодательства с ответчика подлежит взысканию в пользу истца сумма задолженности в размере </w:t>
      </w:r>
      <w:r>
        <w:rPr>
          <w:rStyle w:val="cat-Sumgrp-11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</w:t>
      </w:r>
      <w:r>
        <w:rPr>
          <w:lang w:val="en-BE" w:eastAsia="en-BE" w:bidi="ar-SA"/>
        </w:rPr>
        <w:t xml:space="preserve"> расходов. 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                                            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>РЕШИ</w:t>
      </w:r>
      <w:r>
        <w:rPr>
          <w:b/>
          <w:bCs/>
          <w:lang w:val="en-BE" w:eastAsia="en-BE" w:bidi="ar-SA"/>
        </w:rPr>
        <w:t>Л: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наследственному имуществу умершей Кузнецовой Ольги Алексеевны о взыскании ссудной задолженность по кредитному договору – удовлетворить.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</w:t>
      </w:r>
      <w:r>
        <w:rPr>
          <w:lang w:val="en-BE" w:eastAsia="en-BE" w:bidi="ar-SA"/>
        </w:rPr>
        <w:t xml:space="preserve">О «Сбербанк России»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1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2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Решение может быть обжаловано в Мосгорсуд через Бутырский районный</w:t>
      </w:r>
      <w:r>
        <w:rPr>
          <w:b/>
          <w:bCs/>
          <w:lang w:val="en-BE" w:eastAsia="en-BE" w:bidi="ar-SA"/>
        </w:rPr>
        <w:t xml:space="preserve"> суд </w:t>
      </w:r>
      <w:r>
        <w:rPr>
          <w:rStyle w:val="cat-Addressgrp-0rplc-3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:rsidR="00000000" w:rsidRDefault="004346D3">
      <w:pPr>
        <w:rPr>
          <w:lang w:val="en-BE" w:eastAsia="en-BE" w:bidi="ar-SA"/>
        </w:rPr>
      </w:pPr>
      <w:r>
        <w:rPr>
          <w:rStyle w:val="cat-Addressgrp-0rplc-34"/>
          <w:b/>
          <w:bCs/>
          <w:lang w:val="en-BE" w:eastAsia="en-BE" w:bidi="ar-SA"/>
        </w:rPr>
        <w:t>адре</w:t>
      </w:r>
      <w:r>
        <w:rPr>
          <w:rStyle w:val="cat-Addressgrp-0rplc-34"/>
          <w:b/>
          <w:bCs/>
          <w:lang w:val="en-BE" w:eastAsia="en-BE" w:bidi="ar-SA"/>
        </w:rPr>
        <w:t>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20 апреля 2022 года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7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№2-2429/2022 по исковому заявлению ПАО «Сбер</w:t>
      </w:r>
      <w:r>
        <w:rPr>
          <w:lang w:val="en-BE" w:eastAsia="en-BE" w:bidi="ar-SA"/>
        </w:rPr>
        <w:t xml:space="preserve">банк России» в лице филиала Московского банка ПАО «Сбербанк» к наследственному имуществу умершей Кузнецовой Ольги Алексеевны о взыскании ссудной задолженность по кредитному договору, 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</w:t>
      </w:r>
      <w:r>
        <w:rPr>
          <w:lang w:val="en-BE" w:eastAsia="en-BE" w:bidi="ar-SA"/>
        </w:rPr>
        <w:t>го банка ПАО «Сбербанк» к наследственному имуществу умершей Кузнецовой Ольги Алексеевны о взыскании ссудной задолженность по кредитному договору – удовлетворить.</w:t>
      </w:r>
    </w:p>
    <w:p w:rsidR="00000000" w:rsidRDefault="004346D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0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банка ПАО «Сбербанк» </w:t>
      </w:r>
      <w:r>
        <w:rPr>
          <w:lang w:val="en-BE" w:eastAsia="en-BE" w:bidi="ar-SA"/>
        </w:rPr>
        <w:t xml:space="preserve">сумму задолженности по кредитному договору в размере </w:t>
      </w:r>
      <w:r>
        <w:rPr>
          <w:rStyle w:val="cat-Sumgrp-11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2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4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</w:t>
      </w:r>
      <w:r>
        <w:rPr>
          <w:b/>
          <w:bCs/>
          <w:lang w:val="en-BE" w:eastAsia="en-BE" w:bidi="ar-SA"/>
        </w:rPr>
        <w:t>ния суда в окончательной форме.</w:t>
      </w: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№2-2429/2022 по исковому заявлению ПАО «Сбербанк России» в</w:t>
      </w:r>
      <w:r>
        <w:rPr>
          <w:lang w:val="en-BE" w:eastAsia="en-BE" w:bidi="ar-SA"/>
        </w:rPr>
        <w:t xml:space="preserve"> лице филиала Московского банка ПАО «Сбербанк» к наследственному имуществу умершей Кузнецовой Ольги Алексеевны о взыскании ссудной задолженность по кредитному договору, изготовлено </w:t>
      </w:r>
      <w:r>
        <w:rPr>
          <w:b/>
          <w:bCs/>
          <w:lang w:val="en-BE" w:eastAsia="en-BE" w:bidi="ar-SA"/>
        </w:rPr>
        <w:t xml:space="preserve">20.04.2022г.      </w:t>
      </w: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</w:t>
      </w:r>
      <w:r>
        <w:rPr>
          <w:lang w:val="en-BE" w:eastAsia="en-BE" w:bidi="ar-SA"/>
        </w:rPr>
        <w:t xml:space="preserve">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rPr>
          <w:lang w:val="en-BE" w:eastAsia="en-BE" w:bidi="ar-SA"/>
        </w:rPr>
      </w:pPr>
    </w:p>
    <w:p w:rsidR="00000000" w:rsidRDefault="004346D3">
      <w:pPr>
        <w:jc w:val="both"/>
        <w:rPr>
          <w:lang w:val="en-BE" w:eastAsia="en-BE" w:bidi="ar-SA"/>
        </w:rPr>
      </w:pPr>
    </w:p>
    <w:sectPr w:rsidR="00000000">
      <w:headerReference w:type="default" r:id="rId2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346D3">
      <w:r>
        <w:separator/>
      </w:r>
    </w:p>
  </w:endnote>
  <w:endnote w:type="continuationSeparator" w:id="0">
    <w:p w:rsidR="00000000" w:rsidRDefault="0043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346D3">
      <w:r>
        <w:separator/>
      </w:r>
    </w:p>
  </w:footnote>
  <w:footnote w:type="continuationSeparator" w:id="0">
    <w:p w:rsidR="00000000" w:rsidRDefault="00434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4346D3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№77RS0003-02-2022-003997-38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6D3"/>
    <w:rsid w:val="004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DBD8C6F4-A36D-429B-8080-BC7871CA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6rplc-7">
    <w:name w:val="cat-FIO grp-6 rplc-7"/>
    <w:basedOn w:val="a0"/>
  </w:style>
  <w:style w:type="character" w:customStyle="1" w:styleId="cat-FIOgrp-7rplc-8">
    <w:name w:val="cat-FIO grp-7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FIOgrp-8rplc-11">
    <w:name w:val="cat-FIO grp-8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FIOgrp-8rplc-13">
    <w:name w:val="cat-FIO grp-8 rplc-13"/>
    <w:basedOn w:val="a0"/>
  </w:style>
  <w:style w:type="character" w:customStyle="1" w:styleId="cat-Sumgrp-11rplc-15">
    <w:name w:val="cat-Sum grp-11 rplc-15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FIOgrp-9rplc-19">
    <w:name w:val="cat-FIO grp-9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FIOgrp-7rplc-21">
    <w:name w:val="cat-FIO grp-7 rplc-21"/>
    <w:basedOn w:val="a0"/>
  </w:style>
  <w:style w:type="character" w:customStyle="1" w:styleId="cat-FIOgrp-7rplc-23">
    <w:name w:val="cat-FIO grp-7 rplc-23"/>
    <w:basedOn w:val="a0"/>
  </w:style>
  <w:style w:type="character" w:customStyle="1" w:styleId="cat-FIOgrp-8rplc-24">
    <w:name w:val="cat-FIO grp-8 rplc-24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FIOgrp-10rplc-29">
    <w:name w:val="cat-FIO grp-10 rplc-29"/>
    <w:basedOn w:val="a0"/>
  </w:style>
  <w:style w:type="character" w:customStyle="1" w:styleId="cat-Sumgrp-11rplc-30">
    <w:name w:val="cat-Sum grp-11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4rplc-37">
    <w:name w:val="cat-FIO grp-4 rplc-37"/>
    <w:basedOn w:val="a0"/>
  </w:style>
  <w:style w:type="character" w:customStyle="1" w:styleId="cat-FIOgrp-10rplc-40">
    <w:name w:val="cat-FIO grp-10 rplc-40"/>
    <w:basedOn w:val="a0"/>
  </w:style>
  <w:style w:type="character" w:customStyle="1" w:styleId="cat-Sumgrp-11rplc-41">
    <w:name w:val="cat-Sum grp-11 rplc-41"/>
    <w:basedOn w:val="a0"/>
  </w:style>
  <w:style w:type="character" w:customStyle="1" w:styleId="cat-Sumgrp-12rplc-42">
    <w:name w:val="cat-Sum grp-12 rplc-42"/>
    <w:basedOn w:val="a0"/>
  </w:style>
  <w:style w:type="character" w:customStyle="1" w:styleId="cat-Addressgrp-1rplc-43">
    <w:name w:val="cat-Address grp-1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hyperlink" Target="consultantplus://offline/ref=32CCB3D5E0E2F260F38E2493BCBBD609D1C70D88AAAE912446784928A6A60EF80E8B4A1D95127A3A5FF900D6DC2923A959C8D8EB2E487620l3B2N" TargetMode="External"/><Relationship Id="rId18" Type="http://schemas.openxmlformats.org/officeDocument/2006/relationships/hyperlink" Target="consultantplus://offline/ref=3A3BC6876E95F16C0FE9E65BA091DAB9316097C660B83D2BE7143ECE8879D2323B2679EDD9C7429D2CU2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A3BC6876E95F16C0FE9E65BA091DAB9316097C660B83D2BE7143ECE8879D2323B2679EDD9C74E9D2CUCH" TargetMode="Externa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08F64D6CF22575139A7D435FD628D81297F5C71A8C507D48F17F4767431434281C35BEEBFBC35CD4v7S8H" TargetMode="External"/><Relationship Id="rId17" Type="http://schemas.openxmlformats.org/officeDocument/2006/relationships/hyperlink" Target="consultantplus://offline/ref=3A3BC6876E95F16C0FE9E65BA091DAB9316B97C364BE3D2BE7143ECE8879D2323B2679EDD9C64A922CU4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8F64D6CF22575139A7D435FD628D81297F5C71A8C507D48F17F4767431434281C35BEvESCH" TargetMode="External"/><Relationship Id="rId20" Type="http://schemas.openxmlformats.org/officeDocument/2006/relationships/hyperlink" Target="consultantplus://offline/ref=3A3BC6876E95F16C0FE9E65BA091DAB9316B97C364BE3D2BE7143ECE8879D2323B2679EDD9C64A932CU1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F1B885D7D48F17F4767431434281C35BEEBFBC256D7v7S0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B3D5E0E2F260F38E2493BCBBD609D1C70D88AAAE912446784928A6A60EF80E8B4A1D95127A3B5FF900D6DC2923A959C8D8EB2E487620l3B2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19" Type="http://schemas.openxmlformats.org/officeDocument/2006/relationships/hyperlink" Target="consultantplus://offline/ref=3A3BC6876E95F16C0FE9E65BA091DAB9316B97C364BE3D2BE7143ECE8879D2323B2679EDD9C64A922CU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hyperlink" Target="consultantplus://offline/ref=32CCB3D5E0E2F260F38E2493BCBBD609D1C70E8AAAAB912446784928A6A60EF80E8B4A1D95137E3557F900D6DC2923A959C8D8EB2E487620l3B2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2226</Words>
  <Characters>12693</Characters>
  <Application>Microsoft Office Word</Application>
  <DocSecurity>0</DocSecurity>
  <Lines>105</Lines>
  <Paragraphs>29</Paragraphs>
  <ScaleCrop>false</ScaleCrop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