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CC3F4D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77RS0004-02-2021-013419-27</w:t>
      </w:r>
    </w:p>
    <w:p w:rsidR="00000000" w:rsidRDefault="00CC3F4D">
      <w:pPr>
        <w:ind w:firstLine="567"/>
        <w:jc w:val="center"/>
        <w:rPr>
          <w:lang w:val="en-BE" w:eastAsia="en-BE" w:bidi="ar-SA"/>
        </w:rPr>
      </w:pPr>
    </w:p>
    <w:p w:rsidR="00000000" w:rsidRDefault="00CC3F4D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CC3F4D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15 апреля 2022 года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Шестакове Д.Г</w:t>
      </w:r>
      <w:r>
        <w:rPr>
          <w:lang w:val="en-BE" w:eastAsia="en-BE" w:bidi="ar-SA"/>
        </w:rPr>
        <w:t xml:space="preserve">., при секретаре Маршалиной А.М., рассмотрев в открытом судебном заседании гражданское дело № 2-2518/2022 по иску Гефель Екатерины Викторовны к ПАО «Сбербанк России» о признании кредитного договора недействительным, 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УСТАНОВЛ: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Гефель Е.В. обратилас</w:t>
      </w:r>
      <w:r>
        <w:rPr>
          <w:lang w:val="en-BE" w:eastAsia="en-BE" w:bidi="ar-SA"/>
        </w:rPr>
        <w:t xml:space="preserve">ь в суд с иском к ответчику ПАО «Сбербанк России» о признании недействительный кредитного договора № 94589469 от 22.12.2020, мотивируя заявленные требования тем, что 22.12.2020 примерно в 13.32 неустановленное лицо, по телефону представившееся сотрудником </w:t>
      </w:r>
      <w:r>
        <w:rPr>
          <w:lang w:val="en-BE" w:eastAsia="en-BE" w:bidi="ar-SA"/>
        </w:rPr>
        <w:t xml:space="preserve">банка, под предлогом сохранения денежных средств, принадлежащих истцу, мошенническим способом вынудило Гефель Е.В. взять кредит, снять денежные средства с принадлежащего ей счета. В последующем Гефель Е.К. действуя по указанию неустановленного лица, в тот </w:t>
      </w:r>
      <w:r>
        <w:rPr>
          <w:lang w:val="en-BE" w:eastAsia="en-BE" w:bidi="ar-SA"/>
        </w:rPr>
        <w:t xml:space="preserve">же день перевела денежные средства на общую сумму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неизвестные счета. По факту мошеннических действий Гефель Е.В. также обратилась в правоохранительные органы. В связи с вышеизложенным истец просит признать кредитный договор № 94589469 от 22.12.202</w:t>
      </w:r>
      <w:r>
        <w:rPr>
          <w:lang w:val="en-BE" w:eastAsia="en-BE" w:bidi="ar-SA"/>
        </w:rPr>
        <w:t>0 недействительным.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Гефель Е.В. в судебном заседания заявленные исковые требования поддержала в полном объеме, просила их удовлетворить по доводам, изложенным в исковом заявлении.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6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проси</w:t>
      </w:r>
      <w:r>
        <w:rPr>
          <w:lang w:val="en-BE" w:eastAsia="en-BE" w:bidi="ar-SA"/>
        </w:rPr>
        <w:t>л суд отказать в удовлетворении исковых требований по доводам, изложенным в письменных возражениях, приобщенных к материалам дела.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стороны, исследовав и оценив письменные материалы дела, приходит к следующему: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ст.2 ГПК РФ, з</w:t>
      </w:r>
      <w:r>
        <w:rPr>
          <w:lang w:val="en-BE" w:eastAsia="en-BE" w:bidi="ar-SA"/>
        </w:rPr>
        <w:t>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прав, свобод и законных интересов граждан, организаций, прав и интересов Российской Федерации, су</w:t>
      </w:r>
      <w:r>
        <w:rPr>
          <w:lang w:val="en-BE" w:eastAsia="en-BE" w:bidi="ar-SA"/>
        </w:rPr>
        <w:t>бъектов Российской Федерации, муниципальных образований, других лиц, являющихся субъектами гражданских, трудовых или иных правоотношений.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 ГПК РФ заинтересованное лицо вправе в порядке, установленном законодательством о гражданском судопроизво</w:t>
      </w:r>
      <w:r>
        <w:rPr>
          <w:lang w:val="en-BE" w:eastAsia="en-BE" w:bidi="ar-SA"/>
        </w:rPr>
        <w:t>дстве, обратиться в суд за защитой нарушенных либо оспариваемых прав, свобод или законных интересов.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ст.ст.421, 819 ГК РФ, обязанность кредитной организации предоставить денежные средства (кредит, транш) является первичной по отношению к обязаннос</w:t>
      </w:r>
      <w:r>
        <w:rPr>
          <w:lang w:val="en-BE" w:eastAsia="en-BE" w:bidi="ar-SA"/>
        </w:rPr>
        <w:t>тям заемщика возвратить сумму кредита, уплатить проценты за пользование кредитом, которые имеют встречный характер (п.1 ст.328 ГК РФ).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ст.425 ГК РФ договор вступает в силу и становится обязательным для сторон с момента его заключения.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</w:t>
      </w:r>
      <w:r>
        <w:rPr>
          <w:lang w:val="en-BE" w:eastAsia="en-BE" w:bidi="ar-SA"/>
        </w:rPr>
        <w:t>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Существенными являются условия о предмете договора, условия, которые названы в законе или и</w:t>
      </w:r>
      <w:r>
        <w:rPr>
          <w:lang w:val="en-BE" w:eastAsia="en-BE" w:bidi="ar-SA"/>
        </w:rPr>
        <w:t>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</w:t>
      </w:r>
      <w:r>
        <w:rPr>
          <w:lang w:val="en-BE" w:eastAsia="en-BE" w:bidi="ar-SA"/>
        </w:rPr>
        <w:t>лючить договор) одной из сторон и ее акцепта (принятия предложения) другой стороной.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</w:t>
      </w:r>
      <w:r>
        <w:rPr>
          <w:lang w:val="en-BE" w:eastAsia="en-BE" w:bidi="ar-SA"/>
        </w:rPr>
        <w:t>овора незаключенным, если заявление такого требования с учетом конкретных обстоятельств будет противоречить принципу добросовестности.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ст.434 ГК РФ договор может быть заключен в любой форме, предусмотренной для совершения сделок, если законом для до</w:t>
      </w:r>
      <w:r>
        <w:rPr>
          <w:lang w:val="en-BE" w:eastAsia="en-BE" w:bidi="ar-SA"/>
        </w:rPr>
        <w:t>говоров данного вида не установлена определенная форма.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</w:t>
      </w:r>
      <w:r>
        <w:rPr>
          <w:lang w:val="en-BE" w:eastAsia="en-BE" w:bidi="ar-SA"/>
        </w:rPr>
        <w:t>ными данными в соответствии с правилами абзаца второго пункта 1 статьи 160 настоящего Кодекса, согласно которого письменная форма сделки считается соблюденной также в случае совершения лицом сделки с помощью электронных либо иных технических средств, позво</w:t>
      </w:r>
      <w:r>
        <w:rPr>
          <w:lang w:val="en-BE" w:eastAsia="en-BE" w:bidi="ar-SA"/>
        </w:rPr>
        <w:t>ляющих воспроизвести на материальном носителе в неизменном виде содержание сделки, при этом требование о наличии подписи считается выполненным, если использован любой способ, позволяющий достоверно определить лицо, выразившее волю. Законом, иными правовыми</w:t>
      </w:r>
      <w:r>
        <w:rPr>
          <w:lang w:val="en-BE" w:eastAsia="en-BE" w:bidi="ar-SA"/>
        </w:rPr>
        <w:t xml:space="preserve"> актами и соглашением сторон может быть предусмотрен специальный способ достоверного определения лица, выразившего волю.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Использование при совершении сделок факсимильного воспроизведения подписи с помощью средств механического или иного копирования либо ин</w:t>
      </w:r>
      <w:r>
        <w:rPr>
          <w:lang w:val="en-BE" w:eastAsia="en-BE" w:bidi="ar-SA"/>
        </w:rPr>
        <w:t>ого аналога собственноручной подписи допускается в случаях и в порядке, предусмотренных законом, иными правовыми актами или соглашением сторон (п.2 ст.160 ГК РФ).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соответствие с ч.4 ст.11 Федерального закона от 27 июля 2006 года № 149-ФЗ «Об информации, </w:t>
      </w:r>
      <w:r>
        <w:rPr>
          <w:lang w:val="en-BE" w:eastAsia="en-BE" w:bidi="ar-SA"/>
        </w:rPr>
        <w:t>информационных технологиях и о защите информации»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</w:t>
      </w:r>
      <w:r>
        <w:rPr>
          <w:lang w:val="en-BE" w:eastAsia="en-BE" w:bidi="ar-SA"/>
        </w:rPr>
        <w:t>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правовыми актами или соглашением сторон, рассматривается как обмен документами.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lang w:val="en-BE" w:eastAsia="en-BE" w:bidi="ar-SA"/>
        </w:rPr>
        <w:t xml:space="preserve">ч.6 ст.7 Федерального закона от 21.12.2013 года № 353-ФЗ «О потребительском кредите (займе)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</w:t>
      </w:r>
      <w:r>
        <w:rPr>
          <w:lang w:val="en-BE" w:eastAsia="en-BE" w:bidi="ar-SA"/>
        </w:rPr>
        <w:t>ст.5 настоящего Федерального закона. Договор потребительского займа считается заключенным с момента передачи заемщику денежных средств.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необходимые для заключения договора потребительского кредита (займа) в соответствии с настоящей статьей, вклю</w:t>
      </w:r>
      <w:r>
        <w:rPr>
          <w:lang w:val="en-BE" w:eastAsia="en-BE" w:bidi="ar-SA"/>
        </w:rPr>
        <w:t xml:space="preserve">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</w:t>
      </w:r>
      <w:r>
        <w:rPr>
          <w:lang w:val="en-BE" w:eastAsia="en-BE" w:bidi="ar-SA"/>
        </w:rPr>
        <w:t xml:space="preserve">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</w:t>
      </w:r>
      <w:r>
        <w:rPr>
          <w:lang w:val="en-BE" w:eastAsia="en-BE" w:bidi="ar-SA"/>
        </w:rPr>
        <w:t xml:space="preserve">условиями </w:t>
      </w:r>
      <w:r>
        <w:rPr>
          <w:lang w:val="en-BE" w:eastAsia="en-BE" w:bidi="ar-SA"/>
        </w:rPr>
        <w:lastRenderedPageBreak/>
        <w:t>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</w:t>
      </w:r>
      <w:r>
        <w:rPr>
          <w:lang w:val="en-BE" w:eastAsia="en-BE" w:bidi="ar-SA"/>
        </w:rPr>
        <w:t xml:space="preserve"> Федеральным законом (ч.14 ст.7 названного ФЗ)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ст.166 ГК РФ,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 Оспоримая сдел</w:t>
      </w:r>
      <w:r>
        <w:rPr>
          <w:lang w:val="en-BE" w:eastAsia="en-BE" w:bidi="ar-SA"/>
        </w:rPr>
        <w:t>ка может быть признана недействительной, если она нарушает права или охраняемые законом интересы лица, оспаривающего сделку, в том числе повлекла неблагоприятные для него последствия.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 и следует из материалов дела, Гефель Е.В. является</w:t>
      </w:r>
      <w:r>
        <w:rPr>
          <w:lang w:val="en-BE" w:eastAsia="en-BE" w:bidi="ar-SA"/>
        </w:rPr>
        <w:t xml:space="preserve"> клиентом ПАО «Сбербанк России», в рамках договора на банковское обслуживание, на ее имя выпущена банковская карта Visa Classic ( счет карты № 4081*********2752), к которой истцом самостоятельно подключена услуга «Мобильный банк» к номеру телефона 8 910 44</w:t>
      </w:r>
      <w:r>
        <w:rPr>
          <w:lang w:val="en-BE" w:eastAsia="en-BE" w:bidi="ar-SA"/>
        </w:rPr>
        <w:t>3 65 51.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24.04.2019 истцом осуществлена регистрация в системе «Сбербанк Онлайн».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Своей подписью в договоре банковского обслуживания истец подтвердила свое согласие с «Условиями банковского обслуживания физических лиц ПАО Сбербанк» и обязалась их выполнять.</w:t>
      </w:r>
      <w:r>
        <w:rPr>
          <w:lang w:val="en-BE" w:eastAsia="en-BE" w:bidi="ar-SA"/>
        </w:rPr>
        <w:t xml:space="preserve"> Согласилась с тем, что указанное заявление является подтверждением о присоединении к условиям банковского обслуживания и является документом, подтверждающим факт заключения договора банковского обслуживания. 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3.9.1 ДБО предусмотрено право клиента </w:t>
      </w:r>
      <w:r>
        <w:rPr>
          <w:lang w:val="en-BE" w:eastAsia="en-BE" w:bidi="ar-SA"/>
        </w:rPr>
        <w:t>заключать с банком кредитные договоры, в том числе с использованием системы «Сбербанк Онлайн».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п.2.45 Условий банковского обслуживания физических лиц, система «Сбербанк онлайн» — это удаленный канал обслуживания Банка, автоматизированная защищенна</w:t>
      </w:r>
      <w:r>
        <w:rPr>
          <w:lang w:val="en-BE" w:eastAsia="en-BE" w:bidi="ar-SA"/>
        </w:rPr>
        <w:t>я система дистанционного обслуживания клиента через официальный сайт Банка в сети Интернет, а также Мобильное приложение банка.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п.3.2 Порядка предоставления ПАО Сбербанк услуг через удаленные каналы обслуживания система «Сбербанк онлайн» обеспечив</w:t>
      </w:r>
      <w:r>
        <w:rPr>
          <w:lang w:val="en-BE" w:eastAsia="en-BE" w:bidi="ar-SA"/>
        </w:rPr>
        <w:t>ает возможность совершения клиентом операций по счетам карт, вкладам и иным счетам, открытым в банке, а также оказания клиенту иных финансовых услуг; доступ к информации о своих счетах, вкладах и других приобретенных банковских продуктах и услугах. А также</w:t>
      </w:r>
      <w:r>
        <w:rPr>
          <w:lang w:val="en-BE" w:eastAsia="en-BE" w:bidi="ar-SA"/>
        </w:rPr>
        <w:t xml:space="preserve"> к информации о расходном лимите по бизнес-картам клиента; возможность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между клиентом и банком), а также по подпи</w:t>
      </w:r>
      <w:r>
        <w:rPr>
          <w:lang w:val="en-BE" w:eastAsia="en-BE" w:bidi="ar-SA"/>
        </w:rPr>
        <w:t xml:space="preserve">санию электронных документов аналогом собственноручной подписи/простой электронной подписью клиента; доступ к сохраненным копиям электронных документов; возможность обмена с использованием Мобильного приложения банка текстовыми сообщениями, аудио, фото- и </w:t>
      </w:r>
      <w:r>
        <w:rPr>
          <w:lang w:val="en-BE" w:eastAsia="en-BE" w:bidi="ar-SA"/>
        </w:rPr>
        <w:t>видео – информацией, графическими изображениями, и иной информацией в режиме реального времени.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договора клиенту предоставляется возможность проведения банковских операций через удаленные каналы обслуживания.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п.3.6, п.3.7 Порядка, о</w:t>
      </w:r>
      <w:r>
        <w:rPr>
          <w:lang w:val="en-BE" w:eastAsia="en-BE" w:bidi="ar-SA"/>
        </w:rPr>
        <w:t>снованием для предоставления услуг проведения банковских операций в системе «Сбербанк Онлайн» является подключение клиента к система «Сбербанк Онлайн» путем получения идентификатора пользователя (через устройство самообслуживания банка с использованием кар</w:t>
      </w:r>
      <w:r>
        <w:rPr>
          <w:lang w:val="en-BE" w:eastAsia="en-BE" w:bidi="ar-SA"/>
        </w:rPr>
        <w:t>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подключенный к системе «Мобильного банка» по Картам). Услуги предоставляютс</w:t>
      </w:r>
      <w:r>
        <w:rPr>
          <w:lang w:val="en-BE" w:eastAsia="en-BE" w:bidi="ar-SA"/>
        </w:rPr>
        <w:t>я при условии положительной идентификации и аутентификации Клиента в системе «Сбербанк Онлайн».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</w:t>
      </w:r>
      <w:r>
        <w:rPr>
          <w:lang w:val="en-BE" w:eastAsia="en-BE" w:bidi="ar-SA"/>
        </w:rPr>
        <w:t>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(п.3.10 Порядка).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п.3.9 Порядка, клиент соглашается с тем, что постоянный и одноразо</w:t>
      </w:r>
      <w:r>
        <w:rPr>
          <w:lang w:val="en-BE" w:eastAsia="en-BE" w:bidi="ar-SA"/>
        </w:rPr>
        <w:t xml:space="preserve">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</w:t>
      </w:r>
      <w:r>
        <w:rPr>
          <w:lang w:val="en-BE" w:eastAsia="en-BE" w:bidi="ar-SA"/>
        </w:rPr>
        <w:t>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</w:t>
      </w:r>
      <w:r>
        <w:rPr>
          <w:lang w:val="en-BE" w:eastAsia="en-BE" w:bidi="ar-SA"/>
        </w:rPr>
        <w:t>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</w:t>
      </w:r>
      <w:r>
        <w:rPr>
          <w:lang w:val="en-BE" w:eastAsia="en-BE" w:bidi="ar-SA"/>
        </w:rPr>
        <w:t xml:space="preserve"> сделок, совершенных при физическом присутствии лица, совершающего сделку.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</w:t>
      </w:r>
      <w:r>
        <w:rPr>
          <w:lang w:val="en-BE" w:eastAsia="en-BE" w:bidi="ar-SA"/>
        </w:rPr>
        <w:t>ректную идентификацию и аутентификацию клиента и совершение операции в такой системе.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</w:t>
      </w:r>
      <w:r>
        <w:rPr>
          <w:lang w:val="en-BE" w:eastAsia="en-BE" w:bidi="ar-SA"/>
        </w:rPr>
        <w:t xml:space="preserve">систему «Сбербанк Онлайн»,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 Без идентификатора пользователя и паролей, имеющихся у клиента </w:t>
      </w:r>
      <w:r>
        <w:rPr>
          <w:lang w:val="en-BE" w:eastAsia="en-BE" w:bidi="ar-SA"/>
        </w:rPr>
        <w:t>вход в систему «Сбербанк Онлайн» невозможен.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22.12.2020 через систему «Сбербанк Онлайн» на основании поступившей заявки между ПАО «Сбербанк России» и Гефель Е.В. был оформлен кредитный договор № 94589469 о предоставлении «потребительского кредита» в размер</w:t>
      </w:r>
      <w:r>
        <w:rPr>
          <w:lang w:val="en-BE" w:eastAsia="en-BE" w:bidi="ar-SA"/>
        </w:rPr>
        <w:t xml:space="preserve">е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сроком на 60 месяцев, под 13,9% годовых, в соответствии с условиями которого на счет банковской карты Гефель Е.В. в тот же день были зачислены денежные средства, о чем банком посредством sms-сообщения было направлено соответствующее уведомление о </w:t>
      </w:r>
      <w:r>
        <w:rPr>
          <w:lang w:val="en-BE" w:eastAsia="en-BE" w:bidi="ar-SA"/>
        </w:rPr>
        <w:t>зачислении денежных средств. Денежные средства в размере сумма были списаны в счет подключения программы защиты жизни и здоровья заемщика.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оформлении заявки для входа в систему «Сбербанк Онлайн» были использованы реквизиты банковской карты истца, при п</w:t>
      </w:r>
      <w:r>
        <w:rPr>
          <w:lang w:val="en-BE" w:eastAsia="en-BE" w:bidi="ar-SA"/>
        </w:rPr>
        <w:t>роведении операции были использованы правильный логин, постоянный и одноразовые пароли. Для подтверждения действий, направленных на получение кредита, на номер телефона истца направлено sms-сообщение с паролем для подтверждения заявки на кредит.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Документал</w:t>
      </w:r>
      <w:r>
        <w:rPr>
          <w:lang w:val="en-BE" w:eastAsia="en-BE" w:bidi="ar-SA"/>
        </w:rPr>
        <w:t>ьным подтверждением факта оказания услуги, совершения клиентом операций/действий, является протокол проведения операций/действия в автоматизированной системе Банка, подтверждающий корректную идентификацию и аутентификацию клиента (в том числе, использовани</w:t>
      </w:r>
      <w:r>
        <w:rPr>
          <w:lang w:val="en-BE" w:eastAsia="en-BE" w:bidi="ar-SA"/>
        </w:rPr>
        <w:t xml:space="preserve">е аналога собственноручной системы).  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содержаний sms-сообщений, направленных на номер телефона истца, усматривается, что до Гефель Е.В. доводилась информация о характере проводимых операций, а также при заключении кредитного договора Гефель Е.В. была о</w:t>
      </w:r>
      <w:r>
        <w:rPr>
          <w:lang w:val="en-BE" w:eastAsia="en-BE" w:bidi="ar-SA"/>
        </w:rPr>
        <w:t>знакомлена с условиями кредитования в интерфейсе системы «Сбербанк Онлайн». При этом, ПАО «Сбербанк России» в полном объеме исполнил обязательства по предоставлению кредитных денежных средств, что подтверждается материалами дела; от полученного кредита Геф</w:t>
      </w:r>
      <w:r>
        <w:rPr>
          <w:lang w:val="en-BE" w:eastAsia="en-BE" w:bidi="ar-SA"/>
        </w:rPr>
        <w:t>ель Е.В. не отказалась.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имеющиеся в материалах дела доказательства в соответствие с требованиями ст.ст.67,71 ГПК РФ, суд приходит к выводу, что кредитный договор от 22.12.2020 был заключен в офертно-акцептном порядке, путем направления истцом в ба</w:t>
      </w:r>
      <w:r>
        <w:rPr>
          <w:lang w:val="en-BE" w:eastAsia="en-BE" w:bidi="ar-SA"/>
        </w:rPr>
        <w:t>нк предложения заключить с ней договор с применением аналога собственноручной подписи, и акцепта со стороны банка, путем зачисления денежных средств на счет истца. Сам факт перечисления денежных средств на счет истца подтверждается протоколом проведения оп</w:t>
      </w:r>
      <w:r>
        <w:rPr>
          <w:lang w:val="en-BE" w:eastAsia="en-BE" w:bidi="ar-SA"/>
        </w:rPr>
        <w:t>ераций, отчетом об операциях и не оспорен истцом.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договор заключался по волеизъявлению обеих сторон, в соответствии со ст.</w:t>
      </w:r>
      <w:hyperlink r:id="rId5" w:tgtFrame="_blank" w:history="1">
        <w:r>
          <w:rPr>
            <w:color w:val="0000EE"/>
            <w:lang w:val="en-BE" w:eastAsia="en-BE" w:bidi="ar-SA"/>
          </w:rPr>
          <w:t>421</w:t>
        </w:r>
      </w:hyperlink>
      <w:r>
        <w:rPr>
          <w:lang w:val="en-BE" w:eastAsia="en-BE" w:bidi="ar-SA"/>
        </w:rPr>
        <w:t xml:space="preserve"> ГК РФ, его </w:t>
      </w:r>
      <w:r>
        <w:rPr>
          <w:lang w:val="en-BE" w:eastAsia="en-BE" w:bidi="ar-SA"/>
        </w:rPr>
        <w:t>условия устанавливались сторонами по согласованию, нарушений прав истца при этом не установлено.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заключении договора истцу была предоставлена полная информация о кредитном продукте, условиях предоставления кредита и его возврата. 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не была лишена </w:t>
      </w:r>
      <w:r>
        <w:rPr>
          <w:lang w:val="en-BE" w:eastAsia="en-BE" w:bidi="ar-SA"/>
        </w:rPr>
        <w:t>возможности отказаться от заключения кредитного договора, в случае несогласия с его условиями; истцом не представлено доказательств того, что она имела намерение заключить договор на иных условиях, и банком ей в этом было отказано.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Положения пунктов раздел</w:t>
      </w:r>
      <w:r>
        <w:rPr>
          <w:lang w:val="en-BE" w:eastAsia="en-BE" w:bidi="ar-SA"/>
        </w:rPr>
        <w:t xml:space="preserve">а 2 Порядка предоставления </w:t>
      </w:r>
      <w:hyperlink r:id="rId6" w:history="1">
        <w:r>
          <w:rPr>
            <w:color w:val="0000EE"/>
            <w:lang w:val="en-BE" w:eastAsia="en-BE" w:bidi="ar-SA"/>
          </w:rPr>
          <w:t>ОАО «Сбербанк России»</w:t>
        </w:r>
      </w:hyperlink>
      <w:r>
        <w:rPr>
          <w:lang w:val="en-BE" w:eastAsia="en-BE" w:bidi="ar-SA"/>
        </w:rPr>
        <w:t xml:space="preserve"> услуг через удаленные каналы обслу</w:t>
      </w:r>
      <w:r>
        <w:rPr>
          <w:lang w:val="en-BE" w:eastAsia="en-BE" w:bidi="ar-SA"/>
        </w:rPr>
        <w:t xml:space="preserve">живания (устройства самообслуживания Банка, систему «Сбербанк Онлайн», «Мобильный банк», Контактный центр Банка») предусматривают, что предоставление услуг  осуществляется на основании полученного банком распоряжения в виде sms-сообщения или USSD-команды, </w:t>
      </w:r>
      <w:r>
        <w:rPr>
          <w:lang w:val="en-BE" w:eastAsia="en-BE" w:bidi="ar-SA"/>
        </w:rPr>
        <w:t>направленных с использованием средства мобильной связи с номера телефона, указанного клиентом при подключении соответствующей услуги; идентификация клиента при совершении операций осуществляется по номеру телефона; аутентификация клиента при совершении опе</w:t>
      </w:r>
      <w:r>
        <w:rPr>
          <w:lang w:val="en-BE" w:eastAsia="en-BE" w:bidi="ar-SA"/>
        </w:rPr>
        <w:t>раций в рамках услуги «Мобильный банк» может осуществляться с использованием одноразового запроса; клиент подтверждает, что полученное банком сообщение рассматривается банком как распоряжение (поручение) на проведение операций по счетам карт клиента и на п</w:t>
      </w:r>
      <w:r>
        <w:rPr>
          <w:lang w:val="en-BE" w:eastAsia="en-BE" w:bidi="ar-SA"/>
        </w:rPr>
        <w:t xml:space="preserve">редоставление других услуг банка, полученное непосредственно от клиента; сообщения в форме электронных документов, направленные клиентом в банк посредством услуги через удаленные каналы обслуживания имеют юридическую силу документов на бумажных носителях, </w:t>
      </w:r>
      <w:r>
        <w:rPr>
          <w:lang w:val="en-BE" w:eastAsia="en-BE" w:bidi="ar-SA"/>
        </w:rPr>
        <w:t>заверенных собственноручной подписью клиента, оформленных в соответствии с требованиями законодательства Российской Федерации, порождают аналогичные им права и обязанности держателя и банка по настоящему договору. Данные документы в электронной форме могут</w:t>
      </w:r>
      <w:r>
        <w:rPr>
          <w:lang w:val="en-BE" w:eastAsia="en-BE" w:bidi="ar-SA"/>
        </w:rPr>
        <w:t xml:space="preserve"> служить доказательствами в суде (п.2.9-2.13). На клиента возложена обязанность исключить возможность использования третьими лицами мобильного телефона, номер которого используется для предоставления услуг через удаленные каналы обслуживания (п.2.18). Банк</w:t>
      </w:r>
      <w:r>
        <w:rPr>
          <w:lang w:val="en-BE" w:eastAsia="en-BE" w:bidi="ar-SA"/>
        </w:rPr>
        <w:t xml:space="preserve"> не несет ответственность за последствия исполнения распоряжения, переданного в банк с использованием номера мобильного телефона клиента, в т.ч. в случае использования мобильного телефона клиента неуполномоченным лицом (п.2.20). Клиент соглашается на перед</w:t>
      </w:r>
      <w:r>
        <w:rPr>
          <w:lang w:val="en-BE" w:eastAsia="en-BE" w:bidi="ar-SA"/>
        </w:rPr>
        <w:t xml:space="preserve">ачу распоряжений по каналам передачи сообщений, осознавая, что такие каналы передачи информации не являются безопасными, и соглашается нести все риски, связанные с возможным нарушением конфиденциальности, возникающие вследствие использования таких каналов </w:t>
      </w:r>
      <w:r>
        <w:rPr>
          <w:lang w:val="en-BE" w:eastAsia="en-BE" w:bidi="ar-SA"/>
        </w:rPr>
        <w:t>передачи информации (п.2.21).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1.2 Условий договора банковского обслуживания физических лиц клиенту банка предоставляется возможность проведения банковских операций через удаленные каналы: устройство самообслуживания, «Мобильный банк», «Сбербанк Онл</w:t>
      </w:r>
      <w:r>
        <w:rPr>
          <w:lang w:val="en-BE" w:eastAsia="en-BE" w:bidi="ar-SA"/>
        </w:rPr>
        <w:t>айн».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Заключая договор банковского обслуживания, истец подтвердила, что она ознакомлена и согласна с условиями банковского обслуживания физических лиц Сбербанка, и обязалась их выполнять, также была ознакомлена с Условиями использования карт Сбербанка Росс</w:t>
      </w:r>
      <w:r>
        <w:rPr>
          <w:lang w:val="en-BE" w:eastAsia="en-BE" w:bidi="ar-SA"/>
        </w:rPr>
        <w:t xml:space="preserve">ии, Памяткой держателя и тарифами Сбербанка России. Истец также согласилась, что документы, оформляемые при совершении операций по карте, могут быть составлены с использованием аналога собственноручной подписи держателя карты: ПИНа, кодов, паролей (п.4.16 </w:t>
      </w:r>
      <w:r>
        <w:rPr>
          <w:lang w:val="en-BE" w:eastAsia="en-BE" w:bidi="ar-SA"/>
        </w:rPr>
        <w:t>Условий банковского обслуживания).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входе в систему «Сбербанк Онл@йн» и проведении 22.12.2020 спорных операций были использованы верные данные банковской карты и пароли, лицо, вошедшее в систему, было идентифицировано как Клиент Банка, распоряжения кото</w:t>
      </w:r>
      <w:r>
        <w:rPr>
          <w:lang w:val="en-BE" w:eastAsia="en-BE" w:bidi="ar-SA"/>
        </w:rPr>
        <w:t>рого, обязательны к исполнению.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Совокупность исследованных судом доказательств, а также разумность и добросовестность участников гражданских правоотношений (п.3 </w:t>
      </w:r>
      <w:hyperlink r:id="rId7" w:history="1">
        <w:r>
          <w:rPr>
            <w:color w:val="0000EE"/>
            <w:lang w:val="en-BE" w:eastAsia="en-BE" w:bidi="ar-SA"/>
          </w:rPr>
          <w:t>ст.10 ГК РФ</w:t>
        </w:r>
      </w:hyperlink>
      <w:r>
        <w:rPr>
          <w:lang w:val="en-BE" w:eastAsia="en-BE" w:bidi="ar-SA"/>
        </w:rPr>
        <w:t>) приводят суд к выво</w:t>
      </w:r>
      <w:r>
        <w:rPr>
          <w:lang w:val="en-BE" w:eastAsia="en-BE" w:bidi="ar-SA"/>
        </w:rPr>
        <w:t>ду, о том, что заключение спорного договора, снятие денежных средств через устройство самообслуживание произведены с использованием персональных средств доступа; на момент совершения спорных операций банковская карта истца не была заблокирована, доказатель</w:t>
      </w:r>
      <w:r>
        <w:rPr>
          <w:lang w:val="en-BE" w:eastAsia="en-BE" w:bidi="ar-SA"/>
        </w:rPr>
        <w:t>ств обратного суду не представлено, в связи с чем, суд приходит к выводу о том, что у банка имелись все основания полагать, что распоряжения на заключение договора и перечисление денежных средств дано уполномоченным лицом.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того, что истец обр</w:t>
      </w:r>
      <w:r>
        <w:rPr>
          <w:lang w:val="en-BE" w:eastAsia="en-BE" w:bidi="ar-SA"/>
        </w:rPr>
        <w:t>ащалась с заявлением о потере карты, смене или потере номера телефона, подключенного к услуге мобильного банка, о блокировке карты, истцом в нарушение положений ст.</w:t>
      </w:r>
      <w:hyperlink r:id="rId8" w:tgtFrame="_blank" w:history="1">
        <w:r>
          <w:rPr>
            <w:color w:val="0000EE"/>
            <w:lang w:val="en-BE" w:eastAsia="en-BE" w:bidi="ar-SA"/>
          </w:rPr>
          <w:t xml:space="preserve">56 ГПК </w:t>
        </w:r>
        <w:r>
          <w:rPr>
            <w:color w:val="0000EE"/>
            <w:lang w:val="en-BE" w:eastAsia="en-BE" w:bidi="ar-SA"/>
          </w:rPr>
          <w:t>РФ</w:t>
        </w:r>
      </w:hyperlink>
      <w:r>
        <w:rPr>
          <w:lang w:val="en-BE" w:eastAsia="en-BE" w:bidi="ar-SA"/>
        </w:rPr>
        <w:t>, не представлено, как и не представлено доказательств того, что истцом спорные операции не совершались, то есть сведения, необходимые для проведения операций по картам, были известны лишь клиенту.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банка за совершение третьими лицами опе</w:t>
      </w:r>
      <w:r>
        <w:rPr>
          <w:lang w:val="en-BE" w:eastAsia="en-BE" w:bidi="ar-SA"/>
        </w:rPr>
        <w:t>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истцом доказательства, суд исходит из того, что цель заключения истцом кредитного</w:t>
      </w:r>
      <w:r>
        <w:rPr>
          <w:lang w:val="en-BE" w:eastAsia="en-BE" w:bidi="ar-SA"/>
        </w:rPr>
        <w:t xml:space="preserve"> договора была достигнута, денежные средства в кредит были получены истцом, каких-либо нарушений условий договора и обязательств ответчиком не допущено. Кроме того, доказательств виновных действий ответчика по необоснованному списанию денежных средств со с</w:t>
      </w:r>
      <w:r>
        <w:rPr>
          <w:lang w:val="en-BE" w:eastAsia="en-BE" w:bidi="ar-SA"/>
        </w:rPr>
        <w:t xml:space="preserve">чета истца в ходе рассмотрения дела не установлено, напротив, при рассмотрении дела установлено, что ответчик действовал в соответствии со </w:t>
      </w:r>
      <w:hyperlink r:id="rId9" w:history="1">
        <w:r>
          <w:rPr>
            <w:color w:val="0000EE"/>
            <w:lang w:val="en-BE" w:eastAsia="en-BE" w:bidi="ar-SA"/>
          </w:rPr>
          <w:t>ст.845 ГК РФ</w:t>
        </w:r>
      </w:hyperlink>
      <w:r>
        <w:rPr>
          <w:lang w:val="en-BE" w:eastAsia="en-BE" w:bidi="ar-SA"/>
        </w:rPr>
        <w:t>, выполняя надлежащим образом оформленное</w:t>
      </w:r>
      <w:r>
        <w:rPr>
          <w:lang w:val="en-BE" w:eastAsia="en-BE" w:bidi="ar-SA"/>
        </w:rPr>
        <w:t xml:space="preserve"> распоряжение о списании денежных средств, учитывая, что спорная операция совершена с использованием персональных средств доступа (номер мобильного телефона и код).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изложенным, суд приходит к выводу о наличии долговых обязательств Гефель Е.В. пер</w:t>
      </w:r>
      <w:r>
        <w:rPr>
          <w:lang w:val="en-BE" w:eastAsia="en-BE" w:bidi="ar-SA"/>
        </w:rPr>
        <w:t>ед банком, правомерности их возникновения (на основании заключенного между истцом и ПАО «Сбербанк-России» в офертно-акцептной форме, с использованием электронной подписи, договора), в связи с чем, отсутствуют правовые основания для признания, оспариваемого</w:t>
      </w:r>
      <w:r>
        <w:rPr>
          <w:lang w:val="en-BE" w:eastAsia="en-BE" w:bidi="ar-SA"/>
        </w:rPr>
        <w:t xml:space="preserve"> истцом, кредитного договора недействительным.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удовлетворении основных требований истца отказано, не имеется оснований для удовлетворения вытекающих из основного требований об компенсации морального вреда, взыскании расходов на представителя.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</w:t>
      </w:r>
      <w:r>
        <w:rPr>
          <w:lang w:val="en-BE" w:eastAsia="en-BE" w:bidi="ar-SA"/>
        </w:rPr>
        <w:t>а основании изложенного, руководствуясь ст.ст.194-198 ГПК РФ, суд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Гефель </w:t>
      </w:r>
      <w:r>
        <w:rPr>
          <w:rStyle w:val="cat-FIOgrp-7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о признании кредитного договора недействительным - отказать.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</w:t>
      </w:r>
      <w:r>
        <w:rPr>
          <w:lang w:val="en-BE" w:eastAsia="en-BE" w:bidi="ar-SA"/>
        </w:rPr>
        <w:t xml:space="preserve">ядке в Московский городской суд через Гагаринский районный суд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суда в окончательной форме.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22 апреля 2022 года.</w:t>
      </w: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jc w:val="both"/>
        <w:rPr>
          <w:lang w:val="en-BE" w:eastAsia="en-BE" w:bidi="ar-SA"/>
        </w:rPr>
      </w:pPr>
    </w:p>
    <w:p w:rsidR="00000000" w:rsidRDefault="00CC3F4D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   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           Д.Г. Шестаков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3F4D"/>
    <w:rsid w:val="00C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23D2319-A469-449B-A19E-C8E0B87E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Sumgrp-10rplc-8">
    <w:name w:val="cat-Sum grp-10 rplc-8"/>
    <w:basedOn w:val="a0"/>
  </w:style>
  <w:style w:type="character" w:customStyle="1" w:styleId="cat-FIOgrp-6rplc-11">
    <w:name w:val="cat-FIO grp-6 rplc-11"/>
    <w:basedOn w:val="a0"/>
  </w:style>
  <w:style w:type="character" w:customStyle="1" w:styleId="cat-Sumgrp-11rplc-14">
    <w:name w:val="cat-Sum grp-11 rplc-14"/>
    <w:basedOn w:val="a0"/>
  </w:style>
  <w:style w:type="character" w:customStyle="1" w:styleId="cat-FIOgrp-7rplc-21">
    <w:name w:val="cat-FIO grp-7 rplc-21"/>
    <w:basedOn w:val="a0"/>
  </w:style>
  <w:style w:type="character" w:customStyle="1" w:styleId="cat-Addressgrp-0rplc-22">
    <w:name w:val="cat-Address grp-0 rplc-2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gpk-rf/razdel-i/glava-6/statia-5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&#1057;&#1090;&#1072;&#1090;&#1100;&#1103;_10_&#1043;&#1050;_&#1056;&#106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pravosudie.com/act-%22%D0%9E%D0%90%D0%9E+%D0%A1%D0%B1%D0%B5%D1%80%D0%B1%D0%B0%D0%BD%D0%BA+%D0%A0%D0%BE%D1%81%D1%81%D0%B8%D0%B8%22-q/section-a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dact.ru/law/gk-rf-chast1/razdel-iii/podrazdel-2_1/glava-27/statia-42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spravosudie.com/law/&#1057;&#1090;&#1072;&#1090;&#1100;&#1103;_845_&#1043;&#1050;_&#1056;&#10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3296</Words>
  <Characters>18793</Characters>
  <Application>Microsoft Office Word</Application>
  <DocSecurity>0</DocSecurity>
  <Lines>156</Lines>
  <Paragraphs>44</Paragraphs>
  <ScaleCrop>false</ScaleCrop>
  <Company/>
  <LinksUpToDate>false</LinksUpToDate>
  <CharactersWithSpaces>22045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