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864478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77RS0004-02-2021-001399-03</w:t>
      </w:r>
    </w:p>
    <w:p w:rsidR="00000000" w:rsidRDefault="00864478">
      <w:pPr>
        <w:ind w:firstLine="567"/>
        <w:jc w:val="center"/>
        <w:rPr>
          <w:lang w:val="en-BE" w:eastAsia="en-BE" w:bidi="ar-SA"/>
        </w:rPr>
      </w:pPr>
    </w:p>
    <w:p w:rsidR="00000000" w:rsidRDefault="00864478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864478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22 июня 2021 года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в составе председательствующего судьи </w:t>
      </w:r>
      <w:r>
        <w:rPr>
          <w:rStyle w:val="cat-FIOgrp-5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при секретаре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 2</w:t>
      </w:r>
      <w:r>
        <w:rPr>
          <w:lang w:val="en-BE" w:eastAsia="en-BE" w:bidi="ar-SA"/>
        </w:rPr>
        <w:t xml:space="preserve">-2522/2021 по иску Панаги </w:t>
      </w:r>
      <w:r>
        <w:rPr>
          <w:rStyle w:val="cat-UserDefinedgrp-13rplc-5"/>
          <w:lang w:val="en-BE" w:eastAsia="en-BE" w:bidi="ar-SA"/>
        </w:rPr>
        <w:t>В.А.</w:t>
      </w:r>
      <w:r>
        <w:rPr>
          <w:lang w:val="en-BE" w:eastAsia="en-BE" w:bidi="ar-SA"/>
        </w:rPr>
        <w:t xml:space="preserve"> к ПАО «Сбербанк России» о взыскании неосновательного обогащения</w:t>
      </w:r>
    </w:p>
    <w:p w:rsidR="00000000" w:rsidRDefault="00864478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Панаги В.А. обратилась в суд с иском к ответчику ПАО «Сбербанк России» о  взыскании неосновательного обогащения, в обоснование заявленных требов</w:t>
      </w:r>
      <w:r>
        <w:rPr>
          <w:lang w:val="en-BE" w:eastAsia="en-BE" w:bidi="ar-SA"/>
        </w:rPr>
        <w:t>аний указала, что является держателем дебетовой карты ПАО Сбербанк. 20 мая 2020 года истцу позвонил молодой человек и представился сотрудником ПАО Сбербанка, сказал, о мошеннических операциях по списанию денежных средств с карты, попросил назвать номер кар</w:t>
      </w:r>
      <w:r>
        <w:rPr>
          <w:lang w:val="en-BE" w:eastAsia="en-BE" w:bidi="ar-SA"/>
        </w:rPr>
        <w:t xml:space="preserve">ты, истец номер карты неустановленному лицу сообщила. Через некоторое время с карты истца были списаны денежные средства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>. На основании изложенного Панаги В.А. просит взыскать с ответчика ПАО Сбербанк сумму неосновательного обогащения в разм</w:t>
      </w:r>
      <w:r>
        <w:rPr>
          <w:lang w:val="en-BE" w:eastAsia="en-BE" w:bidi="ar-SA"/>
        </w:rPr>
        <w:t xml:space="preserve">ере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компенсацию морального вреда в размере </w:t>
      </w:r>
      <w:r>
        <w:rPr>
          <w:rStyle w:val="cat-Sumgrp-11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Панаги В.А. в судебное заседание не явилась, извещена о времени и месте судебного заседания надлежащим образом, ходатайствовала о рассмотрении дела в ее отсутствие.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</w:t>
      </w:r>
      <w:r>
        <w:rPr>
          <w:lang w:val="en-BE" w:eastAsia="en-BE" w:bidi="ar-SA"/>
        </w:rPr>
        <w:t xml:space="preserve">чика ПАО «Сбербанк России» по доверенности </w:t>
      </w:r>
      <w:r>
        <w:rPr>
          <w:rStyle w:val="cat-FIOgrp-8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явился, просил отказать в удовлетворении исковых требований по доводам  письменных возражений. 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представителя ответчика, исследовав письменные материалы дела, находит исковые</w:t>
      </w:r>
      <w:r>
        <w:rPr>
          <w:lang w:val="en-BE" w:eastAsia="en-BE" w:bidi="ar-SA"/>
        </w:rPr>
        <w:t xml:space="preserve"> требования не подлежащими удовлетворению по следующим основаниям.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</w:t>
      </w:r>
      <w:hyperlink r:id="rId5" w:history="1">
        <w:r>
          <w:rPr>
            <w:color w:val="0000EE"/>
            <w:lang w:val="en-BE" w:eastAsia="en-BE" w:bidi="ar-SA"/>
          </w:rPr>
          <w:t>56 ГПК РФ</w:t>
        </w:r>
      </w:hyperlink>
      <w:r>
        <w:rPr>
          <w:lang w:val="en-BE" w:eastAsia="en-BE" w:bidi="ar-SA"/>
        </w:rPr>
        <w:t>, содержание которой следует рассматривать в контексте с положениями п.3 ст.</w:t>
      </w:r>
      <w:hyperlink r:id="rId6" w:history="1">
        <w:r>
          <w:rPr>
            <w:color w:val="0000EE"/>
            <w:lang w:val="en-BE" w:eastAsia="en-BE" w:bidi="ar-SA"/>
          </w:rPr>
          <w:t>123</w:t>
        </w:r>
      </w:hyperlink>
      <w:r>
        <w:rPr>
          <w:lang w:val="en-BE" w:eastAsia="en-BE" w:bidi="ar-SA"/>
        </w:rPr>
        <w:t xml:space="preserve"> Конституции РФ и ст.</w:t>
      </w:r>
      <w:hyperlink r:id="rId7" w:history="1">
        <w:r>
          <w:rPr>
            <w:color w:val="0000EE"/>
            <w:lang w:val="en-BE" w:eastAsia="en-BE" w:bidi="ar-SA"/>
          </w:rPr>
          <w:t>12 ГПК РФ</w:t>
        </w:r>
      </w:hyperlink>
      <w:r>
        <w:rPr>
          <w:lang w:val="en-BE" w:eastAsia="en-BE" w:bidi="ar-SA"/>
        </w:rPr>
        <w:t>, закрепляющих принцип состязательности гражданского судопроизводства и принцип равноправия сторон, каждая с</w:t>
      </w:r>
      <w:r>
        <w:rPr>
          <w:lang w:val="en-BE" w:eastAsia="en-BE" w:bidi="ar-SA"/>
        </w:rPr>
        <w:t>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ч.3 ст.67 ГПК РФ, суд оценивает доказательства по своему внутреннему убеждению, осно</w:t>
      </w:r>
      <w:r>
        <w:rPr>
          <w:lang w:val="en-BE" w:eastAsia="en-BE" w:bidi="ar-SA"/>
        </w:rPr>
        <w:t>ванному на всестороннем, полном, объективном и непосредственном исследовании имеющихся в деле доказательств.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ст.68 ГПК РФ объяснения сторон и третьих лиц об известных им обстоятельствах, имеющих значение для правильного рассмотрения де</w:t>
      </w:r>
      <w:r>
        <w:rPr>
          <w:lang w:val="en-BE" w:eastAsia="en-BE" w:bidi="ar-SA"/>
        </w:rPr>
        <w:t>ла, подлежат проверке и оценке наряду с другими доказательствами. В случае, если сторона, обязанная доказывать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</w:t>
      </w:r>
      <w:r>
        <w:rPr>
          <w:lang w:val="en-BE" w:eastAsia="en-BE" w:bidi="ar-SA"/>
        </w:rPr>
        <w:t>иями другой стороны.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ст.1102 ГК РФ лицо, которое без установленных законом, иными правовыми актами или сделкой оснований приобрело или сберегло имущество (приобретатель) за счет другого лица (потерпевшего), обязано возвратить последнему неоснователь</w:t>
      </w:r>
      <w:r>
        <w:rPr>
          <w:lang w:val="en-BE" w:eastAsia="en-BE" w:bidi="ar-SA"/>
        </w:rPr>
        <w:t>но приобретенное или сбереженное имущество (неосновательное обогащение), за исключением случаев, предусмотренных ст.1109 настоящего Кодекса. Правила, предусмотренные настоящей главой, применяются независимо от того, явилось ли неосновательное обогащение ре</w:t>
      </w:r>
      <w:r>
        <w:rPr>
          <w:lang w:val="en-BE" w:eastAsia="en-BE" w:bidi="ar-SA"/>
        </w:rPr>
        <w:t>зультатом поведения приобретателя имущества, самого потерпевшего, третьих лиц или произошло помимо их воли.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п.1 ст.845 ГК РФ по договору банковского счета банк обязуется принимать и зачислять поступающие на счет, открытый клиенту (владельц</w:t>
      </w:r>
      <w:r>
        <w:rPr>
          <w:lang w:val="en-BE" w:eastAsia="en-BE" w:bidi="ar-SA"/>
        </w:rPr>
        <w:t>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ст.309 ГК РФ обязательства должны исполняться надлежащим образом в соответствии с условиями об</w:t>
      </w:r>
      <w:r>
        <w:rPr>
          <w:lang w:val="en-BE" w:eastAsia="en-BE" w:bidi="ar-SA"/>
        </w:rPr>
        <w:t>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В силу ст.310 ГК РФ односторонний отказ от исполнения обязательст</w:t>
      </w:r>
      <w:r>
        <w:rPr>
          <w:lang w:val="en-BE" w:eastAsia="en-BE" w:bidi="ar-SA"/>
        </w:rPr>
        <w:t>ва и одностороннее изменение его условий не допускаются, за исключением случаев, предусмотренных законом.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432 ГК РФ договор считается заключенным, если между сторонами, в требуемой в подлежащих случаях форме, достигнуто соглашение по </w:t>
      </w:r>
      <w:r>
        <w:rPr>
          <w:lang w:val="en-BE" w:eastAsia="en-BE" w:bidi="ar-SA"/>
        </w:rPr>
        <w:t>всем существенным условиям договора.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434 ГК РФ договор может быть заключен в любой форме, предусмотренной для совершения сделок, если законом для договора данного вида не установлена  определенная форма.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Если стороны договорились закл</w:t>
      </w:r>
      <w:r>
        <w:rPr>
          <w:lang w:val="en-BE" w:eastAsia="en-BE" w:bidi="ar-SA"/>
        </w:rPr>
        <w:t>ючить договор в определенной форме, он считается заключенным после придания ему условленной формы, хотя бы законом для договора данного вида такая форма не требовалась.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в письменной форме может быть заключен путем составления одного документа, подп</w:t>
      </w:r>
      <w:r>
        <w:rPr>
          <w:lang w:val="en-BE" w:eastAsia="en-BE" w:bidi="ar-SA"/>
        </w:rPr>
        <w:t>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2 статьи 1</w:t>
      </w:r>
      <w:r>
        <w:rPr>
          <w:lang w:val="en-BE" w:eastAsia="en-BE" w:bidi="ar-SA"/>
        </w:rPr>
        <w:t>60 ГК РФ использование при совершении сделок факсимильного воспроизведения подписи с помощью средств механического или иного копирования, электронной подписи либо иного аналога собственноручной подписи допускается в случаях и в порядке, предусмотренных зак</w:t>
      </w:r>
      <w:r>
        <w:rPr>
          <w:lang w:val="en-BE" w:eastAsia="en-BE" w:bidi="ar-SA"/>
        </w:rPr>
        <w:t>оном, иными правовыми актами или соглашением сторон.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4 ст. 11 Федерального закона от 27.07.2006 г. № 149-ФЗ «Об информации, информационных технологиях и о защите информации» в целях заключения гражданско-правовых договоров или оформлени</w:t>
      </w:r>
      <w:r>
        <w:rPr>
          <w:lang w:val="en-BE" w:eastAsia="en-BE" w:bidi="ar-SA"/>
        </w:rPr>
        <w:t>я иных правоотношений, в которых участвуют лица, обменивающиеся электронными сообщениями, обмен электронными сообщениями, каждое из которых подписано электронной подписью или иным аналогом собственноручной подписи отправителя такого сообщения, в порядке, у</w:t>
      </w:r>
      <w:r>
        <w:rPr>
          <w:lang w:val="en-BE" w:eastAsia="en-BE" w:bidi="ar-SA"/>
        </w:rPr>
        <w:t>становленном федеральными законами. иными нормативными правовыми актами или соглашением сторон, рассматривается как обмен документами.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2 Федерального закона «Об электронной подписи» от 6 апреля 2011 г. 63-ФЗ - Закон об ЭП электрон</w:t>
      </w:r>
      <w:r>
        <w:rPr>
          <w:lang w:val="en-BE" w:eastAsia="en-BE" w:bidi="ar-SA"/>
        </w:rPr>
        <w:t>ная подпись - это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</w:t>
      </w:r>
      <w:r>
        <w:rPr>
          <w:lang w:val="en-BE" w:eastAsia="en-BE" w:bidi="ar-SA"/>
        </w:rPr>
        <w:t xml:space="preserve">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определенным </w:t>
      </w:r>
      <w:r>
        <w:rPr>
          <w:vertAlign w:val="superscript"/>
          <w:lang w:val="en-BE" w:eastAsia="en-BE" w:bidi="ar-SA"/>
        </w:rPr>
        <w:t xml:space="preserve"> </w:t>
      </w:r>
      <w:r>
        <w:rPr>
          <w:lang w:val="en-BE" w:eastAsia="en-BE" w:bidi="ar-SA"/>
        </w:rPr>
        <w:t>лицом (ч. 2 ст. 5 Закона об ЭП).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Информация в электронной форме, по</w:t>
      </w:r>
      <w:r>
        <w:rPr>
          <w:lang w:val="en-BE" w:eastAsia="en-BE" w:bidi="ar-SA"/>
        </w:rPr>
        <w:t xml:space="preserve">дписанная простой электронной подписью или неквалифицированной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в случаях, установленных федеральными законами или </w:t>
      </w:r>
      <w:r>
        <w:rPr>
          <w:lang w:val="en-BE" w:eastAsia="en-BE" w:bidi="ar-SA"/>
        </w:rPr>
        <w:t>соглашением между участниками электронного взаимодействия (ч. 2 ст. 6 Закона об ЭП).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Таким образом, вид электронной подписи, которую следует использовать в каждом конкретном случае определяется сторонами сделки или законом. 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Порядок заключения договоров в </w:t>
      </w:r>
      <w:r>
        <w:rPr>
          <w:lang w:val="en-BE" w:eastAsia="en-BE" w:bidi="ar-SA"/>
        </w:rPr>
        <w:t>электронном виде между клиентом и Банком регулируется Договором банковского обслуживания - ДБО.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3.9. Приложения 1 (от 22.01.2020) к Условиям банковского обслуживания электронные документы, в том числе договоры и заявления, подписанные с</w:t>
      </w:r>
      <w:r>
        <w:rPr>
          <w:lang w:val="en-BE" w:eastAsia="en-BE" w:bidi="ar-SA"/>
        </w:rPr>
        <w:t xml:space="preserve"> использованием Аналога собственноручной подписи/ простой электронной подписью, признаются Банком и Клиентом равнозначными документам на бумажном носителе, подписанным собственноручной подписью, и могут служить доказательством в суде.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Указанные документы я</w:t>
      </w:r>
      <w:r>
        <w:rPr>
          <w:lang w:val="en-BE" w:eastAsia="en-BE" w:bidi="ar-SA"/>
        </w:rPr>
        <w:t>вляются основанием для проведения операций Банком и совершения иных действий (сделок).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ДБО, удовлет</w:t>
      </w:r>
      <w:r>
        <w:rPr>
          <w:lang w:val="en-BE" w:eastAsia="en-BE" w:bidi="ar-SA"/>
        </w:rPr>
        <w:t>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02 марта 2017 </w:t>
      </w:r>
      <w:r>
        <w:rPr>
          <w:lang w:val="en-BE" w:eastAsia="en-BE" w:bidi="ar-SA"/>
        </w:rPr>
        <w:t xml:space="preserve">года Публичное акционерное общество «Сбербанк России» в лице филиала Липецкого отделения № 8593 ПАО Сбербанк выдало Панаги В.А. банковскую карту VISA Classic номер счета карты </w:t>
      </w:r>
      <w:r>
        <w:rPr>
          <w:rStyle w:val="cat-UserDefinedgrp-14rplc-14"/>
          <w:lang w:val="en-BE" w:eastAsia="en-BE" w:bidi="ar-SA"/>
        </w:rPr>
        <w:t>...</w:t>
      </w:r>
      <w:r>
        <w:rPr>
          <w:lang w:val="en-BE" w:eastAsia="en-BE" w:bidi="ar-SA"/>
        </w:rPr>
        <w:t xml:space="preserve">. Данный факт подтверждается Заявлением на банковское обслуживание дебетовой </w:t>
      </w:r>
      <w:r>
        <w:rPr>
          <w:lang w:val="en-BE" w:eastAsia="en-BE" w:bidi="ar-SA"/>
        </w:rPr>
        <w:t xml:space="preserve">карты VlSA Classic, подписанной Панаги В.А. 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в заявлении подтвердил факт уведомления о размещении Условий банковского обслуживания, Памятки держателя карт ПАО Сбербанк, Памятки по безопасности при использовании карт, Руководства по использованию сист</w:t>
      </w:r>
      <w:r>
        <w:rPr>
          <w:lang w:val="en-BE" w:eastAsia="en-BE" w:bidi="ar-SA"/>
        </w:rPr>
        <w:t>емы «Сбербанк-онлайн» и услуги «Мобильный банк» на официальном сайте ПАО Сбербанк/в подразделениях ПАО Сбербанк и о возможности ознакомления с указанными документами, а также подтвердил свое согласие с указанными документами и обязался их выполнять, соглас</w:t>
      </w:r>
      <w:r>
        <w:rPr>
          <w:lang w:val="en-BE" w:eastAsia="en-BE" w:bidi="ar-SA"/>
        </w:rPr>
        <w:t>ился на подписание документов в электронном виде в соответствии с правилами электронного взаимодействия, являющимися неотъемлемой частью договора банковского обслуживания - ДБО.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1.1. Условий банковского обслуживания, действовавших на мо</w:t>
      </w:r>
      <w:r>
        <w:rPr>
          <w:lang w:val="en-BE" w:eastAsia="en-BE" w:bidi="ar-SA"/>
        </w:rPr>
        <w:t>мент заключения ДБО, - Условия на 30.06.2015, настоящие Условия банковского обслуживания и Заявление на банковское обслуживание, надлежащим образом заполненное и подписанное Клиентом, в совокупности являются заключенным между Клиентом и Банком ДБО. Согласн</w:t>
      </w:r>
      <w:r>
        <w:rPr>
          <w:lang w:val="en-BE" w:eastAsia="en-BE" w:bidi="ar-SA"/>
        </w:rPr>
        <w:t>о заявления на банковское обслуживание п. 4 истец согласился с тем, что настоящее заявление является подтверждением о присоединении к Условиям банковского обслуживания физических лиц ПАО Сбербанк и является документом подтверждающим факт заключения Договор</w:t>
      </w:r>
      <w:r>
        <w:rPr>
          <w:lang w:val="en-BE" w:eastAsia="en-BE" w:bidi="ar-SA"/>
        </w:rPr>
        <w:t>а банковского обслуживания.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1.2. Условий на 30.06.2015 было установлено, что ДБО считается заключенным с момента получения Банком лично от клиента Заявления на банковское обслуживание на бумажном носителе по форме, установленной Банком, подписанног</w:t>
      </w:r>
      <w:r>
        <w:rPr>
          <w:lang w:val="en-BE" w:eastAsia="en-BE" w:bidi="ar-SA"/>
        </w:rPr>
        <w:t>о собственноручной подписью Клиента.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1.15. Условий на 30.06.2015 Банк имеет право в одностороннем порядке вносить изменения в ДБО с предварительным уведомлением Клиента не менее чем за 15 рабочих дней в отчете по Счету Карты, и/или чере</w:t>
      </w:r>
      <w:r>
        <w:rPr>
          <w:lang w:val="en-BE" w:eastAsia="en-BE" w:bidi="ar-SA"/>
        </w:rPr>
        <w:t>з информационные стенды подразделений Банка, и/или официальный сайт Банка.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Пункт 1.16. Условий на 30.06.2015 предусматривает, что в случае несогласия Клиента с изменением ДБО Клиент имеет право расторгнуть ДБО, письменно уведомив об этом Банк путем подачи </w:t>
      </w:r>
      <w:r>
        <w:rPr>
          <w:lang w:val="en-BE" w:eastAsia="en-BE" w:bidi="ar-SA"/>
        </w:rPr>
        <w:t xml:space="preserve">заявления о расторжении ДБО по форме, установленной Банком. В случае неполучения Банком до вступления в силу новых условий ДБО письменного уведомления о </w:t>
      </w:r>
      <w:r>
        <w:rPr>
          <w:lang w:val="en-BE" w:eastAsia="en-BE" w:bidi="ar-SA"/>
        </w:rPr>
        <w:lastRenderedPageBreak/>
        <w:t>расторжении ДБО, Банк считает это выражением согласия Клиента с изменениями условий ДБО.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После заключен</w:t>
      </w:r>
      <w:r>
        <w:rPr>
          <w:lang w:val="en-BE" w:eastAsia="en-BE" w:bidi="ar-SA"/>
        </w:rPr>
        <w:t xml:space="preserve">ия Банком и Истцом ДБО в договор вносился ряд изменений, на момент проведения операций по счету дебетовой карты </w:t>
      </w:r>
      <w:r>
        <w:rPr>
          <w:rStyle w:val="cat-UserDefinedgrp-14rplc-16"/>
          <w:lang w:val="en-BE" w:eastAsia="en-BE" w:bidi="ar-SA"/>
        </w:rPr>
        <w:t>...</w:t>
      </w:r>
      <w:r>
        <w:rPr>
          <w:lang w:val="en-BE" w:eastAsia="en-BE" w:bidi="ar-SA"/>
        </w:rPr>
        <w:t xml:space="preserve"> (20.05.2020) действовала редакция Условий от 22.01.2020.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заседания установлено, что Истец, с момента заключения ДБО, не выражал своег</w:t>
      </w:r>
      <w:r>
        <w:rPr>
          <w:lang w:val="en-BE" w:eastAsia="en-BE" w:bidi="ar-SA"/>
        </w:rPr>
        <w:t>о несогласия с изменениями в условия банковского обслуживания, не обращался в Банк с заявлением о расторжении ДБО.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Под услугой «Мобильный банк» понимается - услуга дистанционного доступа Клиента к своим Счетам карт и другим сервисам Банка, предоставляемая </w:t>
      </w:r>
      <w:r>
        <w:rPr>
          <w:lang w:val="en-BE" w:eastAsia="en-BE" w:bidi="ar-SA"/>
        </w:rPr>
        <w:t>Банком Клиенту с использованием мобильной связи по номеру(ам) мобильного(ых) телефона(ов).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Это удаленный канал обслуживания Банка, обеспечивающий Клиентам возможность направлять в Банк Запросы и получать от Банка Информационные сообщения в виде смс-сообщен</w:t>
      </w:r>
      <w:r>
        <w:rPr>
          <w:lang w:val="en-BE" w:eastAsia="en-BE" w:bidi="ar-SA"/>
        </w:rPr>
        <w:t>ий на мобильном устройстве в любое время с использованием абонентского номера подвижной радиотелефонной связи, предварительно зарегистрированного в Банке для доступа к смс-банку (Мобильному банку). Сообщения направляются Банком в виде смс-сообщений и/или P</w:t>
      </w:r>
      <w:r>
        <w:rPr>
          <w:lang w:val="en-BE" w:eastAsia="en-BE" w:bidi="ar-SA"/>
        </w:rPr>
        <w:t>ush- уведомлений (п. 2.30 Условий на 30.06.2015, п. 2.61, 2.62, Условий на 22.01.2020).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п. 2.13 Приложения №2 Условий банковского обслуживания на 30.06.2015 сообщения в электронной форме, направленные Клиентом в Банк посредством Услуги «Мобильный </w:t>
      </w:r>
      <w:r>
        <w:rPr>
          <w:lang w:val="en-BE" w:eastAsia="en-BE" w:bidi="ar-SA"/>
        </w:rPr>
        <w:t xml:space="preserve">банк», имеют юридическую силу документов на бумажных носителях, заверенных собственноручной подписью Клиента, оформленных в соответствии с требованиями законодательства Российской Федерации, и порождают аналогичные документам на бумажных носителях права и </w:t>
      </w:r>
      <w:r>
        <w:rPr>
          <w:lang w:val="en-BE" w:eastAsia="en-BE" w:bidi="ar-SA"/>
        </w:rPr>
        <w:t xml:space="preserve">обязанности Клиента и Банка по ДБО. 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После получения банковской карты Истец получил возможность совершать определенные ДБО операции по своим счетам Карт, счетам, вкладам и другим продуктам в Банке через </w:t>
      </w:r>
      <w:r>
        <w:rPr>
          <w:rStyle w:val="cat-Addressgrp-2rplc-1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обслуживания (п. 1.5 Условий на 30.06.2015).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22</w:t>
      </w:r>
      <w:r>
        <w:rPr>
          <w:lang w:val="en-BE" w:eastAsia="en-BE" w:bidi="ar-SA"/>
        </w:rPr>
        <w:t xml:space="preserve"> января 2020 года к карте VISA Classic номер карты </w:t>
      </w:r>
      <w:r>
        <w:rPr>
          <w:rStyle w:val="cat-UserDefinedgrp-15rplc-18"/>
          <w:lang w:val="en-BE" w:eastAsia="en-BE" w:bidi="ar-SA"/>
        </w:rPr>
        <w:t>...</w:t>
      </w:r>
      <w:r>
        <w:rPr>
          <w:lang w:val="en-BE" w:eastAsia="en-BE" w:bidi="ar-SA"/>
        </w:rPr>
        <w:t xml:space="preserve"> номер счета карты </w:t>
      </w:r>
      <w:r>
        <w:rPr>
          <w:rStyle w:val="cat-UserDefinedgrp-14rplc-19"/>
          <w:lang w:val="en-BE" w:eastAsia="en-BE" w:bidi="ar-SA"/>
        </w:rPr>
        <w:t>...</w:t>
      </w:r>
      <w:r>
        <w:rPr>
          <w:lang w:val="en-BE" w:eastAsia="en-BE" w:bidi="ar-SA"/>
        </w:rPr>
        <w:t xml:space="preserve"> клиент подключал услугу «Мобильный банк» телефон номер </w:t>
      </w:r>
      <w:r>
        <w:rPr>
          <w:rStyle w:val="cat-UserDefinedgrp-16rplc-20"/>
          <w:lang w:val="en-BE" w:eastAsia="en-BE" w:bidi="ar-SA"/>
        </w:rPr>
        <w:t>...</w:t>
      </w:r>
      <w:r>
        <w:rPr>
          <w:lang w:val="en-BE" w:eastAsia="en-BE" w:bidi="ar-SA"/>
        </w:rPr>
        <w:t>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использовала систему Сбербанк Онлайн (автоматизированная защищенная система дистанционного обслуживания Клиента ч</w:t>
      </w:r>
      <w:r>
        <w:rPr>
          <w:lang w:val="en-BE" w:eastAsia="en-BE" w:bidi="ar-SA"/>
        </w:rPr>
        <w:t xml:space="preserve">ерез Официальный сайт Банка в сети Интернет, а также Мобильное приложение Банка). Клиенту предоставлялись пароли в приложении «Сбербанк Онлайн», а затем переводы денежных средств. 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Операции в Системе «Сбербанк Онлайн» Клиент подтверждает одноразовым пароле</w:t>
      </w:r>
      <w:r>
        <w:rPr>
          <w:lang w:val="en-BE" w:eastAsia="en-BE" w:bidi="ar-SA"/>
        </w:rPr>
        <w:t>м, который вводился при совершении операции в Системе «Сбербанк Онлайн», либо путем нажатия при совершении операции кнопки «Подтверждаю», либо ввода команды подтверждения при совершении операции в интерфейсе Системы «Сбербанк Онлайн». Одноразовые пароли Кл</w:t>
      </w:r>
      <w:r>
        <w:rPr>
          <w:lang w:val="en-BE" w:eastAsia="en-BE" w:bidi="ar-SA"/>
        </w:rPr>
        <w:t>иент может получить: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в смс-сообщении, отправленном на номер мобильного телефона, зарегистрированный для доступа к смс-банку (Мобильному банку) по Карте (при выборе данного способа получения Одноразового пароля в Системе «Сбербанк Онлайн»);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в Push-yведо</w:t>
      </w:r>
      <w:r>
        <w:rPr>
          <w:lang w:val="en-BE" w:eastAsia="en-BE" w:bidi="ar-SA"/>
        </w:rPr>
        <w:t>млении (при выборе данного способа получения Одноразового пароля в Системе «Сбербанк Онлайн»). (п. 3.8. приложения к Условиям от 22.01.2020).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 суд констатирует, что распоряжения Истца в форме СМС-сообщения, совершенные посредством услуги «Моби</w:t>
      </w:r>
      <w:r>
        <w:rPr>
          <w:lang w:val="en-BE" w:eastAsia="en-BE" w:bidi="ar-SA"/>
        </w:rPr>
        <w:t>льный банк» по указанному номеру телефона, должны рассматриваться как документы, заверенные собственноручной подписью Истца и имеющие юридическую силу документов на бумажном носителе.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4.1. Условий на 22.01.2020 предусмотрено, что Клиент обязуется р</w:t>
      </w:r>
      <w:r>
        <w:rPr>
          <w:lang w:val="en-BE" w:eastAsia="en-BE" w:bidi="ar-SA"/>
        </w:rPr>
        <w:t>аспоряжаться денежными средствами, находящимися на его счетах, в соответствии с законодательством Российской Федерации, банковскими правилами и ДБО.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приложения № 1 к Условиям банковского обслуживания (раздел Порядок предоставления ПАО Сбербанк усл</w:t>
      </w:r>
      <w:r>
        <w:rPr>
          <w:lang w:val="en-BE" w:eastAsia="en-BE" w:bidi="ar-SA"/>
        </w:rPr>
        <w:t>уг через удаленные каналы обслуживания) банк в качестве средства доступа к проведению операций через удаленные каналы обслуживания через смс-банк (Мобильный банк) регистрирует номер мобильного телефона для Карты в порядке определенном в разделе 4 настоящег</w:t>
      </w:r>
      <w:r>
        <w:rPr>
          <w:lang w:val="en-BE" w:eastAsia="en-BE" w:bidi="ar-SA"/>
        </w:rPr>
        <w:t>о Порядка.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Совершение операций через смс-банк (Мобильный банк), в том числе списание/Перевод денежных средств со счетов Карт Клиента в банке на счета физических и юридических лиц осуществляется на основании полученного банком распоряжения в виде смс сообще</w:t>
      </w:r>
      <w:r>
        <w:rPr>
          <w:lang w:val="en-BE" w:eastAsia="en-BE" w:bidi="ar-SA"/>
        </w:rPr>
        <w:t>ния, направленных с использованием Мобильного устройства с номера телефона, зарегистрированного для доступа к смс банку (Мобильному банку) (п. 2.10. Приложения 1 к Условиям ДБО).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Клиент подтверждает, что полученное банком сообщение рассматривается банком к</w:t>
      </w:r>
      <w:r>
        <w:rPr>
          <w:lang w:val="en-BE" w:eastAsia="en-BE" w:bidi="ar-SA"/>
        </w:rPr>
        <w:t>ак распоряжение (поручение) на проведение операций по счетам карт/вкладам клиента и на предоставление других услуг банка, полученное непосредственно от клиента (п. 2.11 приложения 1 к Условиям ДЮ).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Сообщения в электронной форме, направленные клиентом в бан</w:t>
      </w:r>
      <w:r>
        <w:rPr>
          <w:lang w:val="en-BE" w:eastAsia="en-BE" w:bidi="ar-SA"/>
        </w:rPr>
        <w:t>к через смс- банк (Мобильный банк), имеют юридическую силу документов на бумажных носителях. заверенных собственноручной подписью клиента, оформленных в соответствии с требованиями законодательства РФ, и порождают аналогичные документам на бумажных носител</w:t>
      </w:r>
      <w:r>
        <w:rPr>
          <w:lang w:val="en-BE" w:eastAsia="en-BE" w:bidi="ar-SA"/>
        </w:rPr>
        <w:t>ях права и обязанности клиента и банка по ДБО, Данные документы в электронной форме могут служить доказательством в суде в силу п. 2.12. приложения 1 к Условиям ДБО.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 не несет ответственности за последствия исполнения распоряжения, переданного в банк с</w:t>
      </w:r>
      <w:r>
        <w:rPr>
          <w:lang w:val="en-BE" w:eastAsia="en-BE" w:bidi="ar-SA"/>
        </w:rPr>
        <w:t xml:space="preserve"> использованием номера мобильного телефона клиента, зарегистрированного клиентом для доступа к смс банку (Мобильному банку), в том числе в случае использования мобильного телефона клиента неуполномоченным лицом (п. 2.16 приложения к Условиям ДБО.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r>
        <w:rPr>
          <w:lang w:val="en-BE" w:eastAsia="en-BE" w:bidi="ar-SA"/>
        </w:rPr>
        <w:t>Памятки по безопасности при использовании удаленных каналов обслуживания ПАО Сбербанк, истец был ознакомлен с условиями в которых говорится, что не передавайте карту и ее реквизиты другому лицу. Ни при каких обстоятельствах не сообщайте свой ПИН никому. Пе</w:t>
      </w:r>
      <w:r>
        <w:rPr>
          <w:lang w:val="en-BE" w:eastAsia="en-BE" w:bidi="ar-SA"/>
        </w:rPr>
        <w:t xml:space="preserve">редача карты или ее реквизитов, Логина (Идентификатора пользователя), постоянного пароля, одноразовых паролей, контрольной информации и кода клиента. предназначенных для доступа и подтверждения операций в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обслуживания. другому лицу (в том числе работ</w:t>
      </w:r>
      <w:r>
        <w:rPr>
          <w:lang w:val="en-BE" w:eastAsia="en-BE" w:bidi="ar-SA"/>
        </w:rPr>
        <w:t>нику банка) означает, что вы предоставляете возможность другим лицам проводить операции по счетам. Помните! Вводя одноразовый пароль, вы даете банку распоряжение о проведении операции с указанными в SMS- сообщении реквизитами.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20 мая 2020 года был о</w:t>
      </w:r>
      <w:r>
        <w:rPr>
          <w:lang w:val="en-BE" w:eastAsia="en-BE" w:bidi="ar-SA"/>
        </w:rPr>
        <w:t xml:space="preserve">существлен перевод в сумме </w:t>
      </w:r>
      <w:r>
        <w:rPr>
          <w:rStyle w:val="cat-Sumgrp-10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 дебетовой карте </w:t>
      </w:r>
      <w:r>
        <w:rPr>
          <w:rStyle w:val="cat-UserDefinedgrp-15rplc-23"/>
          <w:lang w:val="en-BE" w:eastAsia="en-BE" w:bidi="ar-SA"/>
        </w:rPr>
        <w:t>...</w:t>
      </w:r>
      <w:r>
        <w:rPr>
          <w:lang w:val="en-BE" w:eastAsia="en-BE" w:bidi="ar-SA"/>
        </w:rPr>
        <w:t>, что нашло свое подтверждение материалами дела.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собственноручно подписанного заявления на банковское обслуживание Панаги В.А. п. 1. и п.2 подтвердила, что с Условиями выпуска и обслуживания к</w:t>
      </w:r>
      <w:r>
        <w:rPr>
          <w:lang w:val="en-BE" w:eastAsia="en-BE" w:bidi="ar-SA"/>
        </w:rPr>
        <w:t>арт, Памяткой держателя карт ПАО Сбербанк, Памяткой по безопасности при использовании карт и Тарифами ПAO Сбербанк ознакомлена, согласна, обязуется их выполнять. Уведомлена о том, что Условия выпуска и обслуживания карт, Тарифы ПАО Сбербанк, Правила Держат</w:t>
      </w:r>
      <w:r>
        <w:rPr>
          <w:lang w:val="en-BE" w:eastAsia="en-BE" w:bidi="ar-SA"/>
        </w:rPr>
        <w:t>еля карт ПАО Сбербанк и Памятка по безопасности при использовании карт, размещены на официальном сайте ПАО Сбербанк и/или в подразделениях ПАО Сбербанк.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Согласно Условиям банковского обслуживания физических лиц ПАО Сбербанк п.3.1.2 «Особенности выпус</w:t>
      </w:r>
      <w:r>
        <w:rPr>
          <w:lang w:val="en-BE" w:eastAsia="en-BE" w:bidi="ar-SA"/>
        </w:rPr>
        <w:t>ка и обслуживания Карт и отражения операций по Счетам Карг определены «Условиями выпуска и обслуживания дебетовой карты ПАО Сбербанк» и размещены на Официальном сайте Банка.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искового заявления, истец указывает, что на следующий день, при пос</w:t>
      </w:r>
      <w:r>
        <w:rPr>
          <w:lang w:val="en-BE" w:eastAsia="en-BE" w:bidi="ar-SA"/>
        </w:rPr>
        <w:t xml:space="preserve">ещении отделения Сбербанка в </w:t>
      </w:r>
      <w:r>
        <w:rPr>
          <w:rStyle w:val="cat-Addressgrp-3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ее уведомили о том, что деньги со счета еще не ушли, операция заморожена. Однако материалами дела установлено, что ПАО Сбербанк давал письменный ответ истцу, в котором указал, что «списание и зачисление средств на счета </w:t>
      </w:r>
      <w:r>
        <w:rPr>
          <w:lang w:val="en-BE" w:eastAsia="en-BE" w:bidi="ar-SA"/>
        </w:rPr>
        <w:t>международных банковских карт по произведенным операциям осуществляется на основании реестров платежей. Формирование реестров производится после обработки информации о совершенных операциях из платежных систем, территориальных процессинговых центров террит</w:t>
      </w:r>
      <w:r>
        <w:rPr>
          <w:lang w:val="en-BE" w:eastAsia="en-BE" w:bidi="ar-SA"/>
        </w:rPr>
        <w:t>ориальных банков или непосредственно с электронных терминалов и банкоматов, в связи с чем, списание и зачисление средств на счета банковских карт отражается позднее фактической даты совершения операции. В соответствии с действующими в банке технологиями пе</w:t>
      </w:r>
      <w:r>
        <w:rPr>
          <w:lang w:val="en-BE" w:eastAsia="en-BE" w:bidi="ar-SA"/>
        </w:rPr>
        <w:t>ревод денежных средств в пользу получателя платежа производится в режиме реального времени. Банк не может приостановить или отменить корректно проведенные операции. Обращение в банк с заявлением о спорной операции зафиксировано уже после совершения операци</w:t>
      </w:r>
      <w:r>
        <w:rPr>
          <w:lang w:val="en-BE" w:eastAsia="en-BE" w:bidi="ar-SA"/>
        </w:rPr>
        <w:t>и. Таким образом, сотрудник банка никак не мог повлиять на ход исполнения распоряжения о списании денежных средств со счета карты».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848 ГК РФ банк обязан совершать для клиента операции, предусмотренные для счетов данного вида законом, установлен</w:t>
      </w:r>
      <w:r>
        <w:rPr>
          <w:lang w:val="en-BE" w:eastAsia="en-BE" w:bidi="ar-SA"/>
        </w:rPr>
        <w:t>ными в соответствии с ним банковскими правилами и применяемыми в банковской практике обычаями. если договором банковского счета не предусмотрено иное.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2.14 «Положения Банка России от 19.06.2012 ЛФ 383-11» отзыв распоряжения осуществляется до на</w:t>
      </w:r>
      <w:r>
        <w:rPr>
          <w:lang w:val="en-BE" w:eastAsia="en-BE" w:bidi="ar-SA"/>
        </w:rPr>
        <w:t>ступления безотзывности перевода денежных средств.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14 ст. 3 ФЗ №161-ФЗ «О национальной платежной системе» (далее по тексту ФЗ- 161) безотзывность перевода денежных средств характеристика перевода денежных средств, обозначающая отсутствие или пр</w:t>
      </w:r>
      <w:r>
        <w:rPr>
          <w:lang w:val="en-BE" w:eastAsia="en-BE" w:bidi="ar-SA"/>
        </w:rPr>
        <w:t>екращение возможности отзыва распоряжения об осуществлении перевода денежных средств в определенный момент времени.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10 ст. 7 ФЗ № 161-ФЗ перевод электронных денежных средств, за исключением случаев, предусмотренных частью 9.1. статьи 9 </w:t>
      </w:r>
      <w:r>
        <w:rPr>
          <w:lang w:val="en-BE" w:eastAsia="en-BE" w:bidi="ar-SA"/>
        </w:rPr>
        <w:t>настоящего Федерального закона, осуществляется путем одновременного принятия оператором электронных денежных средств распоряжения клиента, уменьшения им остатка электронных денежных средств плательщика и увеличение им остатка электронных денежных средств п</w:t>
      </w:r>
      <w:r>
        <w:rPr>
          <w:lang w:val="en-BE" w:eastAsia="en-BE" w:bidi="ar-SA"/>
        </w:rPr>
        <w:t>олучателя средств на сумму перевода электронных денежных средств либо в срок, предусмотренный частью 1 настоящей статьи.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15 ст. 7 ФЗ № 161-ФЗ перевод электронных денежных средств становится безотзывным и окончательным после осуществления операт</w:t>
      </w:r>
      <w:r>
        <w:rPr>
          <w:lang w:val="en-BE" w:eastAsia="en-BE" w:bidi="ar-SA"/>
        </w:rPr>
        <w:t>ором электронных денежных средств действий, указанных в части 10 или 1 1 настоящей статьи.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1.25 Положения о правилах осуществления перевода денежных средств № 383-П не вмешиваются в договорные отношения клиентов. Взаимные претензии межд</w:t>
      </w:r>
      <w:r>
        <w:rPr>
          <w:lang w:val="en-BE" w:eastAsia="en-BE" w:bidi="ar-SA"/>
        </w:rPr>
        <w:t>у плательщиком и получателем средств, кроме возникших по вине банков, решаются в установленном федеральным законом порядке без участия банков.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выпуска и обслуживания дебетовой карты ПАО Сбербанк п. 1.1 Авторизация-разрешение, предоставляе</w:t>
      </w:r>
      <w:r>
        <w:rPr>
          <w:lang w:val="en-BE" w:eastAsia="en-BE" w:bidi="ar-SA"/>
        </w:rPr>
        <w:t>мое Банком для совершения Операции и порождающее в следствие этого обязательство Банка по исполнению распоряжения Держателя.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проведении Авторизации в момент совершения Операции Банк уменьшает расходный лимит по карте на сумму операции (в т.ч. на сумму </w:t>
      </w:r>
      <w:r>
        <w:rPr>
          <w:lang w:val="en-BE" w:eastAsia="en-BE" w:bidi="ar-SA"/>
        </w:rPr>
        <w:t>взимаемой платы за совершение операции в соответствии с Тарифами, действующими на дату совершения операции). При совершении операции в валюте, отличной от валюты Счета Карты, уменьшение расходного лимита по карте производится на сумму операции, пересчитанн</w:t>
      </w:r>
      <w:r>
        <w:rPr>
          <w:lang w:val="en-BE" w:eastAsia="en-BE" w:bidi="ar-SA"/>
        </w:rPr>
        <w:t>ой в валюту счета карты в соответствии с тарифами по курсу Банка и/или курсу платежной системы, действующему на момент Авторизации. При не поступлении платежных документов по операции в течении 20 (двадцати) дней с даты Авторизации Банк восстанавливает рас</w:t>
      </w:r>
      <w:r>
        <w:rPr>
          <w:lang w:val="en-BE" w:eastAsia="en-BE" w:bidi="ar-SA"/>
        </w:rPr>
        <w:t>ходный лимит на сумму операции ( в т.ч. на сумму взимаемой платы за совершение операции).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Совершенная операция по переводу денежных средств была авторизована банком 20 мая 2020 года и в этот момент денежные средства в сумме </w:t>
      </w:r>
      <w:r>
        <w:rPr>
          <w:rStyle w:val="cat-Sumgrp-10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стали доступны получателю </w:t>
      </w:r>
      <w:r>
        <w:rPr>
          <w:lang w:val="en-BE" w:eastAsia="en-BE" w:bidi="ar-SA"/>
        </w:rPr>
        <w:t>денежных средств. Данный факт подтверждается выпиской смс сообщений, направленных банком с номера 900 на номер истца +</w:t>
      </w:r>
      <w:r>
        <w:rPr>
          <w:rStyle w:val="cat-UserDefinedgrp-16rplc-27"/>
          <w:lang w:val="en-BE" w:eastAsia="en-BE" w:bidi="ar-SA"/>
        </w:rPr>
        <w:t>...</w:t>
      </w:r>
      <w:r>
        <w:rPr>
          <w:lang w:val="en-BE" w:eastAsia="en-BE" w:bidi="ar-SA"/>
        </w:rPr>
        <w:t xml:space="preserve"> 18:00:28. Также в данном смс сообщении банк указал на уменьшение лимита по счету карты, баланс составил </w:t>
      </w:r>
      <w:r>
        <w:rPr>
          <w:rStyle w:val="cat-Sumgrp-12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Обращение истца в банк </w:t>
      </w:r>
      <w:r>
        <w:rPr>
          <w:lang w:val="en-BE" w:eastAsia="en-BE" w:bidi="ar-SA"/>
        </w:rPr>
        <w:t xml:space="preserve">об отмене совершенной операции не могло быть исполнено банком, так как в рамках существующего порядка расчета по банковским картам в рамках международных платежных систем безотзывность перевода наступила в момент авторизации. 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 суд констатируе</w:t>
      </w:r>
      <w:r>
        <w:rPr>
          <w:lang w:val="en-BE" w:eastAsia="en-BE" w:bidi="ar-SA"/>
        </w:rPr>
        <w:t xml:space="preserve">т, что ПАО Сбербанк законно исполнил распоряжение истца о переводе денежных средств в сумме </w:t>
      </w:r>
      <w:r>
        <w:rPr>
          <w:rStyle w:val="cat-Sumgrp-10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идентифицировал правильность набранного одноразового пароля. 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отмечает, что истец указывает в исковом заявлении, что предоставила третьим лицам информаци</w:t>
      </w:r>
      <w:r>
        <w:rPr>
          <w:lang w:val="en-BE" w:eastAsia="en-BE" w:bidi="ar-SA"/>
        </w:rPr>
        <w:t>ю по дебетовой карте, а именно ее номер. Таким образом нарушила условия ДБО.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Памятки по безопасности при использовании удаленных каналов обслуживания ПАО Сбербанк «Передача карты или ее реквизитов, Логина (Идентификатора пользователя), Постоянного</w:t>
      </w:r>
      <w:r>
        <w:rPr>
          <w:lang w:val="en-BE" w:eastAsia="en-BE" w:bidi="ar-SA"/>
        </w:rPr>
        <w:t xml:space="preserve"> пароля, Одноразовых паролей, Контрольной информации и кода клиента, предназначенных для доступа подтверждения операций в </w:t>
      </w:r>
      <w:r>
        <w:rPr>
          <w:rStyle w:val="cat-Addressgrp-2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обслуживания, другому лицу (в том числе работнику банка) означает, что вы предоставили возможность другим лицам проводить операц</w:t>
      </w:r>
      <w:r>
        <w:rPr>
          <w:lang w:val="en-BE" w:eastAsia="en-BE" w:bidi="ar-SA"/>
        </w:rPr>
        <w:t>ии по счетам. Вводя Одноразовый пароль, Вы даете Банку распоряжение о проведении операции с указанными в СМС-сообщении реквизитами. Ни при каких обстоятельствах не сообщайте Постоянный и Одноразовые пароли никому, включая сотрудников Банка». Клиент несет о</w:t>
      </w:r>
      <w:r>
        <w:rPr>
          <w:lang w:val="en-BE" w:eastAsia="en-BE" w:bidi="ar-SA"/>
        </w:rPr>
        <w:t xml:space="preserve">тветственность за последствия, наступившие в результате невыполнения либо ненадлежащего выполнения им условий ДБО, в частности предоставления третьим лицам доступа/ разглашения своего идентификатора, паролей и кодов, используемых для совершения операций в </w:t>
      </w:r>
      <w:r>
        <w:rPr>
          <w:lang w:val="en-BE" w:eastAsia="en-BE" w:bidi="ar-SA"/>
        </w:rPr>
        <w:t>системах Банка».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4.22 Условий банковского обслуживания на дату совершения операции по переводу денежных средств (на 20.05.2020), клиент обязан обеспечить безопасное, исключающее несанкционированное использование, хранение Средств д</w:t>
      </w:r>
      <w:r>
        <w:rPr>
          <w:lang w:val="en-BE" w:eastAsia="en-BE" w:bidi="ar-SA"/>
        </w:rPr>
        <w:t>оступа, предусмотренных Условиями банковского обслуживания, не передавать Средства доступа третьим лицам. В случае утраты Средств доступа, ПИНа или Карты, а также в случае возникновения риска незаконного использования Средств доступа или Карты, Клиент обяз</w:t>
      </w:r>
      <w:r>
        <w:rPr>
          <w:lang w:val="en-BE" w:eastAsia="en-BE" w:bidi="ar-SA"/>
        </w:rPr>
        <w:t>ан немедленно уведомить об этом Банк через доступные каналы (Подразделение Банка. Контактный Центр Банка).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6.3 - 6.11 Условий на дату совершения операции по переводу денежных средств: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Банк не несет ответственности, в случае если инфор</w:t>
      </w:r>
      <w:r>
        <w:rPr>
          <w:lang w:val="en-BE" w:eastAsia="en-BE" w:bidi="ar-SA"/>
        </w:rPr>
        <w:t>мация о Счетах Клиента, Карте,  Контрольной информации Клиента, Логине (Идентификаторе пользователя), паролях Системы «Сбербанк Онлайн», Коде клиента или проведенных Клиентом операциях станет известной иным лицам в результате прослушивания или перехвата ин</w:t>
      </w:r>
      <w:r>
        <w:rPr>
          <w:lang w:val="en-BE" w:eastAsia="en-BE" w:bidi="ar-SA"/>
        </w:rPr>
        <w:t xml:space="preserve">формации в каналах связи во время их использования. 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Банк не несет ответственности, в случае если информация о Карте, ПИН, Контрольной информации Клиента, Логине (Идентификаторе пользователя), паролях Системы «Сбербанк Онлайн», Коде клиента станет извест</w:t>
      </w:r>
      <w:r>
        <w:rPr>
          <w:lang w:val="en-BE" w:eastAsia="en-BE" w:bidi="ar-SA"/>
        </w:rPr>
        <w:t>ной иным лицам в результант недобросовестного выполнения Клиентом условий их хранения и использования.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Банк не несет ответственности за последствия исполнения поручений, выданных неуполномоченными лицами, и в тех случаях, когда с использованием предусмот</w:t>
      </w:r>
      <w:r>
        <w:rPr>
          <w:lang w:val="en-BE" w:eastAsia="en-BE" w:bidi="ar-SA"/>
        </w:rPr>
        <w:t>ренных банковскими правилами и ДБО процедур Банк не мог установить факта выдачи распоряжения неуполномоченными лицами.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Клиент несет ответственность за все операции, проводимые в Подразделениях Банка через Устройства самообслуживания, Систему «Сбербанк Он</w:t>
      </w:r>
      <w:r>
        <w:rPr>
          <w:lang w:val="en-BE" w:eastAsia="en-BE" w:bidi="ar-SA"/>
        </w:rPr>
        <w:t>лайн», Контактный Центр Банка посредством смс банк (Мобильный банк), Электронные терминалы у партнеров, с использованием предусмотренных Условиями банковского обслуживания средств его Идентификации и Аутентификации.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- Банк не несет ответственности в случая</w:t>
      </w:r>
      <w:r>
        <w:rPr>
          <w:lang w:val="en-BE" w:eastAsia="en-BE" w:bidi="ar-SA"/>
        </w:rPr>
        <w:t>х невыполнения Клиентом условий ДБО. Перевод денежных средств был осуществлен посредством совершения операции в сети Интернет, с использованием услуги «Мобильный банк», доступ к которым мог иметь только  истец.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Верховного Суда Рос</w:t>
      </w:r>
      <w:r>
        <w:rPr>
          <w:lang w:val="en-BE" w:eastAsia="en-BE" w:bidi="ar-SA"/>
        </w:rPr>
        <w:t>сийской Федерации, выраженное в определении № 14-КГ17-17 от 23.06.2017г. «Действия по списанию денежных средств произведены банком правомерно, так как при проведении операций по переводу денежных средств использованы правильные реквизиты карты, его идентиф</w:t>
      </w:r>
      <w:r>
        <w:rPr>
          <w:lang w:val="en-BE" w:eastAsia="en-BE" w:bidi="ar-SA"/>
        </w:rPr>
        <w:t>икатора, правильный логин, постоянный и одноразовые пароли».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Банк не несет ответственность за действия. совершенные клиентом в системе или при разглашении им данных о счетах, картах. логине. пароле и т.д. 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Отказывая в удовлетворении искового</w:t>
      </w:r>
      <w:r>
        <w:rPr>
          <w:lang w:val="en-BE" w:eastAsia="en-BE" w:bidi="ar-SA"/>
        </w:rPr>
        <w:t xml:space="preserve"> заявления суд особо отмечает, что истец без должной осторожности и осмотрительности передала данные карты третьим лицам.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Поскольку суд отказал в удовлетворении основной части исковых требований, то не подлежат удовлетворению и производные части иска. 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</w:t>
      </w:r>
      <w:r>
        <w:rPr>
          <w:lang w:val="en-BE" w:eastAsia="en-BE" w:bidi="ar-SA"/>
        </w:rPr>
        <w:t>основании изложенного, руководствуясь ст.ст. 194-198 ГПК РФ, суд</w:t>
      </w:r>
    </w:p>
    <w:p w:rsidR="00000000" w:rsidRDefault="00864478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исковых требований Панаги </w:t>
      </w:r>
      <w:r>
        <w:rPr>
          <w:rStyle w:val="cat-UserDefinedgrp-13rplc-32"/>
          <w:lang w:val="en-BE" w:eastAsia="en-BE" w:bidi="ar-SA"/>
        </w:rPr>
        <w:t>В.А.</w:t>
      </w:r>
      <w:r>
        <w:rPr>
          <w:lang w:val="en-BE" w:eastAsia="en-BE" w:bidi="ar-SA"/>
        </w:rPr>
        <w:t xml:space="preserve"> к ПАО «Сбербанк России» о взыскании неосновательного обогащения отказать в полном объеме.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</w:t>
      </w:r>
      <w:r>
        <w:rPr>
          <w:lang w:val="en-BE" w:eastAsia="en-BE" w:bidi="ar-SA"/>
        </w:rPr>
        <w:t xml:space="preserve">одской суд в течение месяца, с даты изготовления судом Решения в окончательной форме, путём подачи апелляционной жалобы через канцелярию по гражданским делам Гагаринского районного суда </w:t>
      </w:r>
      <w:r>
        <w:rPr>
          <w:rStyle w:val="cat-Addressgrp-1rplc-33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 форме изготовлено 29 июля 2021 года</w:t>
      </w:r>
    </w:p>
    <w:p w:rsidR="00000000" w:rsidRDefault="00864478">
      <w:pPr>
        <w:ind w:firstLine="567"/>
        <w:jc w:val="both"/>
        <w:rPr>
          <w:lang w:val="en-BE" w:eastAsia="en-BE" w:bidi="ar-SA"/>
        </w:rPr>
      </w:pPr>
    </w:p>
    <w:p w:rsidR="00000000" w:rsidRDefault="00864478">
      <w:pPr>
        <w:ind w:firstLine="567"/>
        <w:jc w:val="both"/>
        <w:rPr>
          <w:lang w:val="en-BE" w:eastAsia="en-BE" w:bidi="ar-SA"/>
        </w:rPr>
      </w:pPr>
    </w:p>
    <w:p w:rsidR="00000000" w:rsidRDefault="00864478">
      <w:pPr>
        <w:ind w:firstLine="567"/>
        <w:jc w:val="both"/>
        <w:rPr>
          <w:lang w:val="en-BE" w:eastAsia="en-BE" w:bidi="ar-SA"/>
        </w:rPr>
      </w:pPr>
      <w:r>
        <w:rPr>
          <w:rStyle w:val="cat-FIOgrp-9rplc-34"/>
          <w:b/>
          <w:bCs/>
          <w:lang w:val="en-BE" w:eastAsia="en-BE" w:bidi="ar-SA"/>
        </w:rPr>
        <w:t>ф</w:t>
      </w:r>
      <w:r>
        <w:rPr>
          <w:rStyle w:val="cat-FIOgrp-9rplc-34"/>
          <w:b/>
          <w:bCs/>
          <w:lang w:val="en-BE" w:eastAsia="en-BE" w:bidi="ar-SA"/>
        </w:rPr>
        <w:t>ио</w:t>
      </w:r>
      <w:r>
        <w:rPr>
          <w:b/>
          <w:bCs/>
          <w:lang w:val="en-BE" w:eastAsia="en-BE" w:bidi="ar-SA"/>
        </w:rPr>
        <w:t xml:space="preserve"> Шестаков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478"/>
    <w:rsid w:val="0086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AADDB9D5-F594-4278-8EE8-C02CC2A8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UserDefinedgrp-13rplc-5">
    <w:name w:val="cat-UserDefined grp-13 rplc-5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FIOgrp-8rplc-12">
    <w:name w:val="cat-FIO grp-8 rplc-12"/>
    <w:basedOn w:val="a0"/>
  </w:style>
  <w:style w:type="character" w:customStyle="1" w:styleId="cat-UserDefinedgrp-14rplc-14">
    <w:name w:val="cat-UserDefined grp-14 rplc-14"/>
    <w:basedOn w:val="a0"/>
  </w:style>
  <w:style w:type="character" w:customStyle="1" w:styleId="cat-UserDefinedgrp-14rplc-16">
    <w:name w:val="cat-UserDefined grp-14 rplc-16"/>
    <w:basedOn w:val="a0"/>
  </w:style>
  <w:style w:type="character" w:customStyle="1" w:styleId="cat-Addressgrp-2rplc-17">
    <w:name w:val="cat-Address grp-2 rplc-17"/>
    <w:basedOn w:val="a0"/>
  </w:style>
  <w:style w:type="character" w:customStyle="1" w:styleId="cat-UserDefinedgrp-15rplc-18">
    <w:name w:val="cat-UserDefined grp-15 rplc-18"/>
    <w:basedOn w:val="a0"/>
  </w:style>
  <w:style w:type="character" w:customStyle="1" w:styleId="cat-UserDefinedgrp-14rplc-19">
    <w:name w:val="cat-UserDefined grp-14 rplc-19"/>
    <w:basedOn w:val="a0"/>
  </w:style>
  <w:style w:type="character" w:customStyle="1" w:styleId="cat-UserDefinedgrp-16rplc-20">
    <w:name w:val="cat-UserDefined grp-16 rplc-20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Sumgrp-10rplc-22">
    <w:name w:val="cat-Sum grp-10 rplc-22"/>
    <w:basedOn w:val="a0"/>
  </w:style>
  <w:style w:type="character" w:customStyle="1" w:styleId="cat-UserDefinedgrp-15rplc-23">
    <w:name w:val="cat-UserDefined grp-15 rplc-23"/>
    <w:basedOn w:val="a0"/>
  </w:style>
  <w:style w:type="character" w:customStyle="1" w:styleId="cat-Addressgrp-3rplc-25">
    <w:name w:val="cat-Address grp-3 rplc-25"/>
    <w:basedOn w:val="a0"/>
  </w:style>
  <w:style w:type="character" w:customStyle="1" w:styleId="cat-Sumgrp-10rplc-26">
    <w:name w:val="cat-Sum grp-10 rplc-26"/>
    <w:basedOn w:val="a0"/>
  </w:style>
  <w:style w:type="character" w:customStyle="1" w:styleId="cat-UserDefinedgrp-16rplc-27">
    <w:name w:val="cat-UserDefined grp-16 rplc-27"/>
    <w:basedOn w:val="a0"/>
  </w:style>
  <w:style w:type="character" w:customStyle="1" w:styleId="cat-Sumgrp-12rplc-28">
    <w:name w:val="cat-Sum grp-12 rplc-28"/>
    <w:basedOn w:val="a0"/>
  </w:style>
  <w:style w:type="character" w:customStyle="1" w:styleId="cat-Sumgrp-10rplc-29">
    <w:name w:val="cat-Sum grp-10 rplc-29"/>
    <w:basedOn w:val="a0"/>
  </w:style>
  <w:style w:type="character" w:customStyle="1" w:styleId="cat-Addressgrp-2rplc-30">
    <w:name w:val="cat-Address grp-2 rplc-30"/>
    <w:basedOn w:val="a0"/>
  </w:style>
  <w:style w:type="character" w:customStyle="1" w:styleId="cat-UserDefinedgrp-13rplc-32">
    <w:name w:val="cat-UserDefined grp-13 rplc-32"/>
    <w:basedOn w:val="a0"/>
  </w:style>
  <w:style w:type="character" w:customStyle="1" w:styleId="cat-Addressgrp-1rplc-33">
    <w:name w:val="cat-Address grp-1 rplc-33"/>
    <w:basedOn w:val="a0"/>
  </w:style>
  <w:style w:type="character" w:customStyle="1" w:styleId="cat-FIOgrp-9rplc-34">
    <w:name w:val="cat-FIO grp-9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ud-praktika.ru/precedent/16877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d-praktika.ru/precedent/168779.html" TargetMode="External"/><Relationship Id="rId5" Type="http://schemas.openxmlformats.org/officeDocument/2006/relationships/hyperlink" Target="http://www.sud-praktika.ru/precedent/16877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4090</Words>
  <Characters>23314</Characters>
  <Application>Microsoft Office Word</Application>
  <DocSecurity>0</DocSecurity>
  <Lines>194</Lines>
  <Paragraphs>54</Paragraphs>
  <ScaleCrop>false</ScaleCrop>
  <Company/>
  <LinksUpToDate>false</LinksUpToDate>
  <CharactersWithSpaces>27350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