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right="567" w:firstLine="567"/>
        <w:jc w:val="right"/>
        <w:rPr>
          <w:sz w:val="28"/>
          <w:szCs w:val="28"/>
        </w:rPr>
      </w:pPr>
      <w:r>
        <w:rPr>
          <w:rFonts w:ascii="Times New Roman" w:eastAsia="Times New Roman" w:hAnsi="Times New Roman" w:cs="Times New Roman"/>
          <w:sz w:val="28"/>
          <w:szCs w:val="28"/>
          <w:highlight w:val="none"/>
        </w:rPr>
        <w:t>УИД 50RS0051-01-2021-000061-20</w:t>
      </w:r>
    </w:p>
    <w:p>
      <w:pPr>
        <w:spacing w:before="0" w:after="0"/>
        <w:ind w:right="567" w:firstLine="567"/>
        <w:jc w:val="right"/>
        <w:rPr>
          <w:sz w:val="28"/>
          <w:szCs w:val="28"/>
        </w:rPr>
      </w:pPr>
      <w:r>
        <w:rPr>
          <w:rFonts w:ascii="Times New Roman" w:eastAsia="Times New Roman" w:hAnsi="Times New Roman" w:cs="Times New Roman"/>
          <w:sz w:val="28"/>
          <w:szCs w:val="28"/>
          <w:highlight w:val="none"/>
        </w:rPr>
        <w:t>Дело № 2-2565/2021</w:t>
      </w:r>
    </w:p>
    <w:p>
      <w:pPr>
        <w:spacing w:before="0" w:after="0"/>
        <w:ind w:right="567" w:firstLine="567"/>
        <w:jc w:val="center"/>
        <w:rPr>
          <w:sz w:val="28"/>
          <w:szCs w:val="28"/>
        </w:rPr>
      </w:pPr>
    </w:p>
    <w:p>
      <w:pPr>
        <w:spacing w:before="0" w:after="0"/>
        <w:ind w:right="567" w:firstLine="567"/>
        <w:jc w:val="center"/>
        <w:rPr>
          <w:sz w:val="28"/>
          <w:szCs w:val="28"/>
        </w:rPr>
      </w:pPr>
      <w:r>
        <w:rPr>
          <w:rFonts w:ascii="Times New Roman" w:eastAsia="Times New Roman" w:hAnsi="Times New Roman" w:cs="Times New Roman"/>
          <w:sz w:val="28"/>
          <w:szCs w:val="28"/>
          <w:highlight w:val="none"/>
        </w:rPr>
        <w:t>РЕШЕНИЕ</w:t>
      </w:r>
    </w:p>
    <w:p>
      <w:pPr>
        <w:spacing w:before="0" w:after="0"/>
        <w:ind w:right="567" w:firstLine="567"/>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right="567" w:firstLine="567"/>
        <w:jc w:val="both"/>
        <w:rPr>
          <w:sz w:val="28"/>
          <w:szCs w:val="28"/>
        </w:rPr>
      </w:pPr>
    </w:p>
    <w:p>
      <w:pPr>
        <w:spacing w:before="0" w:after="0"/>
        <w:ind w:right="567"/>
        <w:jc w:val="both"/>
        <w:rPr>
          <w:sz w:val="28"/>
          <w:szCs w:val="28"/>
        </w:rPr>
      </w:pP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июня</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года</w:t>
      </w:r>
    </w:p>
    <w:p>
      <w:pPr>
        <w:spacing w:before="0" w:after="0"/>
        <w:ind w:right="567" w:firstLine="567"/>
        <w:jc w:val="both"/>
        <w:rPr>
          <w:sz w:val="28"/>
          <w:szCs w:val="28"/>
        </w:rPr>
      </w:pP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Гагаринский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Штогриной</w:t>
      </w:r>
      <w:r>
        <w:rPr>
          <w:rFonts w:ascii="Times New Roman" w:eastAsia="Times New Roman" w:hAnsi="Times New Roman" w:cs="Times New Roman"/>
          <w:sz w:val="28"/>
          <w:szCs w:val="28"/>
          <w:highlight w:val="none"/>
        </w:rPr>
        <w:t xml:space="preserve"> Л.В.</w:t>
      </w:r>
      <w:r>
        <w:rPr>
          <w:rFonts w:ascii="Times New Roman" w:eastAsia="Times New Roman" w:hAnsi="Times New Roman" w:cs="Times New Roman"/>
          <w:sz w:val="28"/>
          <w:szCs w:val="28"/>
          <w:highlight w:val="none"/>
        </w:rPr>
        <w:t xml:space="preserve"> </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3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рассмотрев в открытом суде</w:t>
      </w:r>
      <w:r>
        <w:rPr>
          <w:rFonts w:ascii="Times New Roman" w:eastAsia="Times New Roman" w:hAnsi="Times New Roman" w:cs="Times New Roman"/>
          <w:sz w:val="28"/>
          <w:szCs w:val="28"/>
          <w:highlight w:val="none"/>
        </w:rPr>
        <w:t>бном заседании гражданское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 xml:space="preserve">ПАО «Сбербанк России» </w:t>
      </w:r>
      <w:r>
        <w:rPr>
          <w:rFonts w:ascii="Times New Roman" w:eastAsia="Times New Roman" w:hAnsi="Times New Roman" w:cs="Times New Roman"/>
          <w:sz w:val="28"/>
          <w:szCs w:val="28"/>
          <w:highlight w:val="none"/>
        </w:rPr>
        <w:t xml:space="preserve">в </w:t>
      </w:r>
      <w:r>
        <w:rPr>
          <w:rFonts w:ascii="Times New Roman" w:eastAsia="Times New Roman" w:hAnsi="Times New Roman" w:cs="Times New Roman"/>
          <w:sz w:val="28"/>
          <w:szCs w:val="28"/>
          <w:highlight w:val="none"/>
        </w:rPr>
        <w:t xml:space="preserve">лице филиала – Среднерусский банк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Наталье Андреевне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 xml:space="preserve">задолженности по </w:t>
      </w:r>
      <w:r>
        <w:rPr>
          <w:rFonts w:ascii="Times New Roman" w:eastAsia="Times New Roman" w:hAnsi="Times New Roman" w:cs="Times New Roman"/>
          <w:sz w:val="28"/>
          <w:szCs w:val="28"/>
          <w:highlight w:val="none"/>
        </w:rPr>
        <w:t>кредитной карте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судебных расходов,</w:t>
      </w:r>
    </w:p>
    <w:p>
      <w:pPr>
        <w:spacing w:before="0" w:after="0"/>
        <w:ind w:right="425" w:firstLine="709"/>
        <w:jc w:val="center"/>
        <w:rPr>
          <w:sz w:val="28"/>
          <w:szCs w:val="28"/>
        </w:rPr>
      </w:pPr>
      <w:r>
        <w:rPr>
          <w:rFonts w:ascii="Times New Roman" w:eastAsia="Times New Roman" w:hAnsi="Times New Roman" w:cs="Times New Roman"/>
          <w:sz w:val="28"/>
          <w:szCs w:val="28"/>
          <w:highlight w:val="none"/>
        </w:rPr>
        <w:t>установил</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p>
    <w:p>
      <w:pPr>
        <w:spacing w:before="0" w:after="0"/>
        <w:ind w:right="425" w:firstLine="709"/>
        <w:jc w:val="both"/>
        <w:rPr>
          <w:sz w:val="28"/>
          <w:szCs w:val="28"/>
        </w:rPr>
      </w:pPr>
      <w:r>
        <w:rPr>
          <w:rFonts w:ascii="Times New Roman" w:eastAsia="Times New Roman" w:hAnsi="Times New Roman" w:cs="Times New Roman"/>
          <w:sz w:val="28"/>
          <w:szCs w:val="28"/>
          <w:highlight w:val="none"/>
        </w:rPr>
        <w:t>Истец ПАО «</w:t>
      </w:r>
      <w:r>
        <w:rPr>
          <w:rFonts w:ascii="Times New Roman" w:eastAsia="Times New Roman" w:hAnsi="Times New Roman" w:cs="Times New Roman"/>
          <w:sz w:val="28"/>
          <w:szCs w:val="28"/>
          <w:highlight w:val="none"/>
        </w:rPr>
        <w:t xml:space="preserve">Сбербанк России» </w:t>
      </w:r>
      <w:r>
        <w:rPr>
          <w:rFonts w:ascii="Times New Roman" w:eastAsia="Times New Roman" w:hAnsi="Times New Roman" w:cs="Times New Roman"/>
          <w:sz w:val="28"/>
          <w:szCs w:val="28"/>
          <w:highlight w:val="none"/>
        </w:rPr>
        <w:t xml:space="preserve">в лице филиала </w:t>
      </w:r>
      <w:r>
        <w:rPr>
          <w:rFonts w:ascii="Times New Roman" w:eastAsia="Times New Roman" w:hAnsi="Times New Roman" w:cs="Times New Roman"/>
          <w:sz w:val="28"/>
          <w:szCs w:val="28"/>
          <w:highlight w:val="none"/>
        </w:rPr>
        <w:t>– Среднерусский банк</w:t>
      </w:r>
      <w:r>
        <w:rPr>
          <w:rFonts w:ascii="Times New Roman" w:eastAsia="Times New Roman" w:hAnsi="Times New Roman" w:cs="Times New Roman"/>
          <w:sz w:val="28"/>
          <w:szCs w:val="28"/>
          <w:highlight w:val="none"/>
        </w:rPr>
        <w:t xml:space="preserve">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обратился в суд с иском к ответчику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 xml:space="preserve">задолженности по </w:t>
      </w:r>
      <w:r>
        <w:rPr>
          <w:rFonts w:ascii="Times New Roman" w:eastAsia="Times New Roman" w:hAnsi="Times New Roman" w:cs="Times New Roman"/>
          <w:sz w:val="28"/>
          <w:szCs w:val="28"/>
          <w:highlight w:val="none"/>
        </w:rPr>
        <w:t>кредитной карте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судебных расходов, мотивируя заявленные требования тем, что 28.12.2018 </w:t>
      </w:r>
      <w:r>
        <w:rPr>
          <w:rFonts w:ascii="Times New Roman" w:eastAsia="Times New Roman" w:hAnsi="Times New Roman" w:cs="Times New Roman"/>
          <w:sz w:val="28"/>
          <w:szCs w:val="28"/>
          <w:highlight w:val="none"/>
        </w:rPr>
        <w:t>между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и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заключен </w:t>
      </w:r>
      <w:r>
        <w:rPr>
          <w:rFonts w:ascii="Times New Roman" w:eastAsia="Times New Roman" w:hAnsi="Times New Roman" w:cs="Times New Roman"/>
          <w:sz w:val="28"/>
          <w:szCs w:val="28"/>
          <w:highlight w:val="none"/>
        </w:rPr>
        <w:t xml:space="preserve">эмиссионный контракт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0268-Р-12515832860</w:t>
      </w:r>
      <w:r>
        <w:rPr>
          <w:rFonts w:ascii="Times New Roman" w:eastAsia="Times New Roman" w:hAnsi="Times New Roman" w:cs="Times New Roman"/>
          <w:sz w:val="28"/>
          <w:szCs w:val="28"/>
          <w:highlight w:val="none"/>
        </w:rPr>
        <w:t xml:space="preserve"> на предоставление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возобновляемой кредитной линии посредством выдачи ему </w:t>
      </w:r>
      <w:r>
        <w:rPr>
          <w:rFonts w:ascii="Times New Roman" w:eastAsia="Times New Roman" w:hAnsi="Times New Roman" w:cs="Times New Roman"/>
          <w:sz w:val="28"/>
          <w:szCs w:val="28"/>
          <w:highlight w:val="none"/>
        </w:rPr>
        <w:t>кредитной</w:t>
      </w:r>
      <w:r>
        <w:rPr>
          <w:rFonts w:ascii="Times New Roman" w:eastAsia="Times New Roman" w:hAnsi="Times New Roman" w:cs="Times New Roman"/>
          <w:sz w:val="28"/>
          <w:szCs w:val="28"/>
          <w:highlight w:val="none"/>
        </w:rPr>
        <w:t xml:space="preserve"> карты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 предоставленным по ней кредитом и обслуживанием счета по данной карте в российских рублях. Договор заключен в результате публичной оферты</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пут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м оформления ответчиком заявления на получение кредитной карты </w:t>
      </w:r>
      <w:r>
        <w:rPr>
          <w:rFonts w:ascii="Times New Roman" w:eastAsia="Times New Roman" w:hAnsi="Times New Roman" w:cs="Times New Roman"/>
          <w:sz w:val="28"/>
          <w:szCs w:val="28"/>
          <w:highlight w:val="none"/>
        </w:rPr>
        <w:t xml:space="preserve">Сбербанка </w:t>
      </w:r>
      <w:r>
        <w:rPr>
          <w:rFonts w:ascii="Times New Roman" w:eastAsia="Times New Roman" w:hAnsi="Times New Roman" w:cs="Times New Roman"/>
          <w:sz w:val="28"/>
          <w:szCs w:val="28"/>
          <w:highlight w:val="none"/>
        </w:rPr>
        <w:t xml:space="preserve">России и ознакомления его с Условиями выпуска и обслуживания кредитной карты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Во исполнение заключенного договора </w:t>
      </w:r>
      <w:r>
        <w:rPr>
          <w:rFonts w:ascii="Times New Roman" w:eastAsia="Times New Roman" w:hAnsi="Times New Roman" w:cs="Times New Roman"/>
          <w:sz w:val="28"/>
          <w:szCs w:val="28"/>
          <w:highlight w:val="none"/>
        </w:rPr>
        <w:t>Чистяковой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выдана кредитная карта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 открыт сч</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т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40817810640033554561 </w:t>
      </w:r>
      <w:r>
        <w:rPr>
          <w:rFonts w:ascii="Times New Roman" w:eastAsia="Times New Roman" w:hAnsi="Times New Roman" w:cs="Times New Roman"/>
          <w:sz w:val="28"/>
          <w:szCs w:val="28"/>
          <w:highlight w:val="none"/>
        </w:rPr>
        <w:t xml:space="preserve">с лимитом кредита </w:t>
      </w:r>
      <w:r>
        <w:rPr>
          <w:rStyle w:val="cat-Sumgrp-8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под </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годовых на условиях, определенных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России обязался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 пут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м пополнения счета карты не позднее 20-ти календарных дней </w:t>
      </w:r>
      <w:r>
        <w:rPr>
          <w:rFonts w:ascii="Times New Roman" w:eastAsia="Times New Roman" w:hAnsi="Times New Roman" w:cs="Times New Roman"/>
          <w:sz w:val="28"/>
          <w:szCs w:val="28"/>
          <w:highlight w:val="none"/>
        </w:rPr>
        <w:t>с даты формирования</w:t>
      </w:r>
      <w:r>
        <w:rPr>
          <w:rFonts w:ascii="Times New Roman" w:eastAsia="Times New Roman" w:hAnsi="Times New Roman" w:cs="Times New Roman"/>
          <w:sz w:val="28"/>
          <w:szCs w:val="28"/>
          <w:highlight w:val="none"/>
        </w:rPr>
        <w:t xml:space="preserve"> отчета по карте. Ответчиком платежи в счет погашения задолженности по кредиту производились с нарушением в части сроков и сумм, обязательных к погашению, и </w:t>
      </w:r>
      <w:r>
        <w:rPr>
          <w:rFonts w:ascii="Times New Roman" w:eastAsia="Times New Roman" w:hAnsi="Times New Roman" w:cs="Times New Roman"/>
          <w:sz w:val="28"/>
          <w:szCs w:val="28"/>
          <w:highlight w:val="none"/>
        </w:rPr>
        <w:t>за период с 16.03.2020 по 13.01.2021</w:t>
      </w:r>
      <w:r>
        <w:rPr>
          <w:rFonts w:ascii="Times New Roman" w:eastAsia="Times New Roman" w:hAnsi="Times New Roman" w:cs="Times New Roman"/>
          <w:sz w:val="28"/>
          <w:szCs w:val="28"/>
          <w:highlight w:val="none"/>
        </w:rPr>
        <w:t xml:space="preserve"> образовалась задолженность в размере </w:t>
      </w:r>
      <w:r>
        <w:rPr>
          <w:rStyle w:val="cat-Sumgrp-9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оскольку претензионные требования </w:t>
      </w:r>
      <w:r>
        <w:rPr>
          <w:rFonts w:ascii="Times New Roman" w:eastAsia="Times New Roman" w:hAnsi="Times New Roman" w:cs="Times New Roman"/>
          <w:sz w:val="28"/>
          <w:szCs w:val="28"/>
          <w:highlight w:val="none"/>
        </w:rPr>
        <w:t>Б</w:t>
      </w:r>
      <w:r>
        <w:rPr>
          <w:rFonts w:ascii="Times New Roman" w:eastAsia="Times New Roman" w:hAnsi="Times New Roman" w:cs="Times New Roman"/>
          <w:sz w:val="28"/>
          <w:szCs w:val="28"/>
          <w:highlight w:val="none"/>
        </w:rPr>
        <w:t xml:space="preserve">анка об оплате задолженности оставлены ответчиком без внимания, </w:t>
      </w:r>
      <w:r>
        <w:rPr>
          <w:rFonts w:ascii="Times New Roman" w:eastAsia="Times New Roman" w:hAnsi="Times New Roman" w:cs="Times New Roman"/>
          <w:sz w:val="28"/>
          <w:szCs w:val="28"/>
          <w:highlight w:val="none"/>
        </w:rPr>
        <w:t>Банк</w:t>
      </w:r>
      <w:r>
        <w:rPr>
          <w:rFonts w:ascii="Times New Roman" w:eastAsia="Times New Roman" w:hAnsi="Times New Roman" w:cs="Times New Roman"/>
          <w:sz w:val="28"/>
          <w:szCs w:val="28"/>
          <w:highlight w:val="none"/>
        </w:rPr>
        <w:t xml:space="preserve"> обратился в суд с указанными требованиями, </w:t>
      </w:r>
      <w:r>
        <w:rPr>
          <w:rFonts w:ascii="Times New Roman" w:eastAsia="Times New Roman" w:hAnsi="Times New Roman" w:cs="Times New Roman"/>
          <w:sz w:val="28"/>
          <w:szCs w:val="28"/>
          <w:highlight w:val="none"/>
        </w:rPr>
        <w:t xml:space="preserve">и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росит взыскать с ответчика задолженность </w:t>
      </w:r>
      <w:r>
        <w:rPr>
          <w:rFonts w:ascii="Times New Roman" w:eastAsia="Times New Roman" w:hAnsi="Times New Roman" w:cs="Times New Roman"/>
          <w:sz w:val="28"/>
          <w:szCs w:val="28"/>
          <w:highlight w:val="none"/>
        </w:rPr>
        <w:t xml:space="preserve">по </w:t>
      </w:r>
      <w:r>
        <w:rPr>
          <w:rFonts w:ascii="Times New Roman" w:eastAsia="Times New Roman" w:hAnsi="Times New Roman" w:cs="Times New Roman"/>
          <w:sz w:val="28"/>
          <w:szCs w:val="28"/>
          <w:highlight w:val="none"/>
        </w:rPr>
        <w:t xml:space="preserve">эмиссионному контракту </w:t>
      </w:r>
      <w:r>
        <w:rPr>
          <w:rFonts w:ascii="Times New Roman" w:eastAsia="Times New Roman" w:hAnsi="Times New Roman" w:cs="Times New Roman"/>
          <w:sz w:val="28"/>
          <w:szCs w:val="28"/>
          <w:highlight w:val="none"/>
        </w:rPr>
        <w:t>от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28.12.2018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0268-Р-12515832860 </w:t>
      </w:r>
      <w:r>
        <w:rPr>
          <w:rFonts w:ascii="Times New Roman" w:eastAsia="Times New Roman" w:hAnsi="Times New Roman" w:cs="Times New Roman"/>
          <w:sz w:val="28"/>
          <w:szCs w:val="28"/>
          <w:highlight w:val="none"/>
        </w:rPr>
        <w:t xml:space="preserve">в размере </w:t>
      </w:r>
      <w:r>
        <w:rPr>
          <w:rStyle w:val="cat-Sumgrp-9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а также расходы по уплате государственной пошлины в размере </w:t>
      </w:r>
      <w:r>
        <w:rPr>
          <w:rStyle w:val="cat-Sumgrp-10rplc-12"/>
          <w:rFonts w:ascii="Times New Roman" w:eastAsia="Times New Roman" w:hAnsi="Times New Roman" w:cs="Times New Roman"/>
          <w:sz w:val="28"/>
          <w:szCs w:val="28"/>
          <w:highlight w:val="none"/>
        </w:rPr>
        <w:t>сумма</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Истец ПАО «Сбербанк России» в судебное заседание представителя не направил, о месте и времени слушания дела извещен надлежащим образом, в исковом заявлении просил о рассмотрении дела в отсутствие представителя истца.</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Чистякова Н.А.</w:t>
      </w:r>
      <w:r>
        <w:rPr>
          <w:rFonts w:ascii="Times New Roman" w:eastAsia="Times New Roman" w:hAnsi="Times New Roman" w:cs="Times New Roman"/>
          <w:sz w:val="28"/>
          <w:szCs w:val="28"/>
          <w:highlight w:val="none"/>
        </w:rPr>
        <w:t xml:space="preserve"> в судебное заседание не явил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о месте и времени слушания дела извещал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в установленном законом порядке, о причинах неявки не сообщил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ходатайств об отложении слушания дела не поступало, возражений на иск не представлено</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рассмотрения судом дела по существу. </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Суд сч</w:t>
      </w:r>
      <w:r>
        <w:rPr>
          <w:rFonts w:ascii="Times New Roman" w:eastAsia="Times New Roman" w:hAnsi="Times New Roman" w:cs="Times New Roman"/>
          <w:sz w:val="28"/>
          <w:szCs w:val="28"/>
          <w:highlight w:val="none"/>
        </w:rPr>
        <w:t>итает</w:t>
      </w:r>
      <w:r>
        <w:rPr>
          <w:rFonts w:ascii="Times New Roman" w:eastAsia="Times New Roman" w:hAnsi="Times New Roman" w:cs="Times New Roman"/>
          <w:sz w:val="28"/>
          <w:szCs w:val="28"/>
          <w:highlight w:val="none"/>
        </w:rPr>
        <w:t xml:space="preserve"> возможным рассмотреть дело в отсутствие сторон</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порядке ст.167 ГПК РФ.</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Исследовав </w:t>
      </w:r>
      <w:r>
        <w:rPr>
          <w:rFonts w:ascii="Times New Roman" w:eastAsia="Times New Roman" w:hAnsi="Times New Roman" w:cs="Times New Roman"/>
          <w:sz w:val="28"/>
          <w:szCs w:val="28"/>
          <w:highlight w:val="none"/>
        </w:rPr>
        <w:t xml:space="preserve">и оценив письменные </w:t>
      </w:r>
      <w:r>
        <w:rPr>
          <w:rFonts w:ascii="Times New Roman" w:eastAsia="Times New Roman" w:hAnsi="Times New Roman" w:cs="Times New Roman"/>
          <w:sz w:val="28"/>
          <w:szCs w:val="28"/>
          <w:highlight w:val="none"/>
        </w:rPr>
        <w:t>материалы дела, суд приходит к следующему</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В силу 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 ст</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"http://sudact.ru/law/gk-rf-chast1/razdel-i/podrazdel-1/glava-1/statia-1/"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 РФ</w:t>
      </w:r>
      <w:r>
        <w:rPr>
          <w:rFonts w:ascii="Times New Roman" w:eastAsia="Times New Roman" w:hAnsi="Times New Roman" w:cs="Times New Roman"/>
          <w:sz w:val="28"/>
          <w:szCs w:val="28"/>
          <w:highlight w:val="none"/>
        </w:rPr>
        <w:t xml:space="preserve"> граждане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Договором признается соглашение двух или нескольких лиц об установлении, изменении или прекращении гражданских прав и обязанностей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"http://sudact.ru/law/gk-rf-chast1/razdel-iii/podrazdel-2_1/glava-27/statia-420/"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420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 РФ</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Из положений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"http://sudact.ru/law/gk-rf-chast1/razdel-iii/podrazdel-2_1/glava-27/statia-421/"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421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 РФ</w:t>
      </w:r>
      <w:r>
        <w:rPr>
          <w:rFonts w:ascii="Times New Roman" w:eastAsia="Times New Roman" w:hAnsi="Times New Roman" w:cs="Times New Roman"/>
          <w:sz w:val="28"/>
          <w:szCs w:val="28"/>
          <w:highlight w:val="none"/>
        </w:rPr>
        <w:t xml:space="preserve">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заключается в том, что каждый участник гражданского оборота вправе самостоятельно решать, вступать или не вступать в договорные отношения.</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"http://sudact.ru/law/gk-rf-chast1/razdel-iii/podrazdel-2_1/glava-28/statia-432/"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432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В соответствии с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"http://sudact.ru/law/gk-rf-chast2/razdel-iv/glava-42/ss-2_4/statia-819/"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w:t>
      </w:r>
      <w:r>
        <w:rPr>
          <w:rFonts w:ascii="Times New Roman" w:eastAsia="Times New Roman" w:hAnsi="Times New Roman" w:cs="Times New Roman"/>
          <w:sz w:val="28"/>
          <w:szCs w:val="28"/>
          <w:highlight w:val="none"/>
        </w:rPr>
        <w:t xml:space="preserve">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"http://sudact.ru/law/gk-rf-chast2/razdel-iv/glava-42/ss-2_4/statia-819/"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w:t>
      </w:r>
      <w:r>
        <w:rPr>
          <w:rFonts w:ascii="Times New Roman" w:eastAsia="Times New Roman" w:hAnsi="Times New Roman" w:cs="Times New Roman"/>
          <w:sz w:val="28"/>
          <w:szCs w:val="28"/>
          <w:highlight w:val="none"/>
        </w:rPr>
        <w:t xml:space="preserve">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Согласно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w:t>
      </w:r>
      <w:r>
        <w:rPr>
          <w:rFonts w:ascii="Times New Roman" w:eastAsia="Times New Roman" w:hAnsi="Times New Roman" w:cs="Times New Roman"/>
          <w:sz w:val="28"/>
          <w:szCs w:val="28"/>
          <w:highlight w:val="none"/>
        </w:rPr>
        <w:t xml:space="preserve"> РФ, если иное не предусмотрено договором займа, сумма займа считается возвращенной в момент передачи ее заимодавцу или </w:t>
      </w:r>
      <w:r>
        <w:rPr>
          <w:rFonts w:ascii="Times New Roman" w:eastAsia="Times New Roman" w:hAnsi="Times New Roman" w:cs="Times New Roman"/>
          <w:sz w:val="28"/>
          <w:szCs w:val="28"/>
          <w:highlight w:val="none"/>
        </w:rPr>
        <w:t>зачисления соответствующих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w:t>
      </w:r>
      <w:r>
        <w:rPr>
          <w:rFonts w:ascii="Times New Roman" w:eastAsia="Times New Roman" w:hAnsi="Times New Roman" w:cs="Times New Roman"/>
          <w:sz w:val="28"/>
          <w:szCs w:val="28"/>
          <w:highlight w:val="none"/>
        </w:rPr>
        <w:t xml:space="preserve"> РФ).</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Согласно ч.</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"http://sudact.ru/law/gk-rf-chast2/razdel-iv/glava-42/ss-1_4/statia-809/"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809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"http://sudact.ru/law/gk-rf-chast2/razdel-iv/glava-42/ss-2_4/statia-820/"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820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w:t>
      </w:r>
      <w:r>
        <w:rPr>
          <w:rFonts w:ascii="Times New Roman" w:eastAsia="Times New Roman" w:hAnsi="Times New Roman" w:cs="Times New Roman"/>
          <w:sz w:val="28"/>
          <w:szCs w:val="28"/>
          <w:highlight w:val="none"/>
        </w:rPr>
        <w:t xml:space="preserve"> РФ кредитный договор должен быть заключен в письменной форме.</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Исходя из положений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w:t>
      </w:r>
      <w:r>
        <w:rPr>
          <w:rFonts w:ascii="Times New Roman" w:eastAsia="Times New Roman" w:hAnsi="Times New Roman" w:cs="Times New Roman"/>
          <w:sz w:val="28"/>
          <w:szCs w:val="28"/>
          <w:highlight w:val="none"/>
        </w:rPr>
        <w:t>К</w:t>
      </w:r>
      <w:r>
        <w:rPr>
          <w:rFonts w:ascii="Times New Roman" w:eastAsia="Times New Roman" w:hAnsi="Times New Roman" w:cs="Times New Roman"/>
          <w:sz w:val="28"/>
          <w:szCs w:val="28"/>
          <w:highlight w:val="none"/>
        </w:rPr>
        <w:t xml:space="preserve"> РФ за</w:t>
      </w:r>
      <w:r>
        <w:rPr>
          <w:rFonts w:ascii="Times New Roman" w:eastAsia="Times New Roman" w:hAnsi="Times New Roman" w:cs="Times New Roman"/>
          <w:sz w:val="28"/>
          <w:szCs w:val="28"/>
          <w:highlight w:val="none"/>
        </w:rPr>
        <w:t>ё</w:t>
      </w:r>
      <w:r>
        <w:rPr>
          <w:rFonts w:ascii="Times New Roman" w:eastAsia="Times New Roman" w:hAnsi="Times New Roman" w:cs="Times New Roman"/>
          <w:sz w:val="28"/>
          <w:szCs w:val="28"/>
          <w:highlight w:val="none"/>
        </w:rPr>
        <w:t>мщик обязан возвратить займодавцу полученную сумму займа в срок и в порядке, которые предусмотрены договором.</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Как установлено в судебном заседании, </w:t>
      </w:r>
      <w:r>
        <w:rPr>
          <w:rFonts w:ascii="Times New Roman" w:eastAsia="Times New Roman" w:hAnsi="Times New Roman" w:cs="Times New Roman"/>
          <w:sz w:val="28"/>
          <w:szCs w:val="28"/>
          <w:highlight w:val="none"/>
        </w:rPr>
        <w:t>28.12.2018</w:t>
      </w:r>
      <w:r>
        <w:rPr>
          <w:rFonts w:ascii="Times New Roman" w:eastAsia="Times New Roman" w:hAnsi="Times New Roman" w:cs="Times New Roman"/>
          <w:sz w:val="28"/>
          <w:szCs w:val="28"/>
          <w:highlight w:val="none"/>
        </w:rPr>
        <w:t xml:space="preserve"> между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и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заключен </w:t>
      </w:r>
      <w:r>
        <w:rPr>
          <w:rFonts w:ascii="Times New Roman" w:eastAsia="Times New Roman" w:hAnsi="Times New Roman" w:cs="Times New Roman"/>
          <w:sz w:val="28"/>
          <w:szCs w:val="28"/>
          <w:highlight w:val="none"/>
        </w:rPr>
        <w:t xml:space="preserve">эмиссионный контракт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0268-Р-12515832860</w:t>
      </w:r>
      <w:r>
        <w:rPr>
          <w:rFonts w:ascii="Times New Roman" w:eastAsia="Times New Roman" w:hAnsi="Times New Roman" w:cs="Times New Roman"/>
          <w:sz w:val="28"/>
          <w:szCs w:val="28"/>
          <w:highlight w:val="none"/>
        </w:rPr>
        <w:t xml:space="preserve"> на предоставление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возобновляемой кредитной линии посредством выдачи е</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 xml:space="preserve"> кредитной карты </w:t>
      </w:r>
      <w:r>
        <w:rPr>
          <w:rFonts w:ascii="Times New Roman" w:eastAsia="Times New Roman" w:hAnsi="Times New Roman" w:cs="Times New Roman"/>
          <w:sz w:val="28"/>
          <w:szCs w:val="28"/>
          <w:highlight w:val="none"/>
        </w:rPr>
        <w:t xml:space="preserve">Сбербанка </w:t>
      </w:r>
      <w:r>
        <w:rPr>
          <w:rFonts w:ascii="Times New Roman" w:eastAsia="Times New Roman" w:hAnsi="Times New Roman" w:cs="Times New Roman"/>
          <w:sz w:val="28"/>
          <w:szCs w:val="28"/>
          <w:highlight w:val="none"/>
        </w:rPr>
        <w:t>с предоставленным по ней кредитом</w:t>
      </w:r>
      <w:r>
        <w:rPr>
          <w:rFonts w:ascii="Times New Roman" w:eastAsia="Times New Roman" w:hAnsi="Times New Roman" w:cs="Times New Roman"/>
          <w:sz w:val="28"/>
          <w:szCs w:val="28"/>
          <w:highlight w:val="none"/>
        </w:rPr>
        <w:t xml:space="preserve"> (лимитом)</w:t>
      </w:r>
      <w:r>
        <w:rPr>
          <w:rFonts w:ascii="Times New Roman" w:eastAsia="Times New Roman" w:hAnsi="Times New Roman" w:cs="Times New Roman"/>
          <w:sz w:val="28"/>
          <w:szCs w:val="28"/>
          <w:highlight w:val="none"/>
        </w:rPr>
        <w:t xml:space="preserve"> и обслуживанием счета по данной карте в российских рублях. Договор заключен в результате публичной оферты путем оформления ответчиком заявления на получение кредитной карты </w:t>
      </w:r>
      <w:r>
        <w:rPr>
          <w:rFonts w:ascii="Times New Roman" w:eastAsia="Times New Roman" w:hAnsi="Times New Roman" w:cs="Times New Roman"/>
          <w:sz w:val="28"/>
          <w:szCs w:val="28"/>
          <w:highlight w:val="none"/>
        </w:rPr>
        <w:t xml:space="preserve">Сбербанка </w:t>
      </w:r>
      <w:r>
        <w:rPr>
          <w:rFonts w:ascii="Times New Roman" w:eastAsia="Times New Roman" w:hAnsi="Times New Roman" w:cs="Times New Roman"/>
          <w:sz w:val="28"/>
          <w:szCs w:val="28"/>
          <w:highlight w:val="none"/>
        </w:rPr>
        <w:t xml:space="preserve">России и ознакомления его с Условиями выпуска и обслуживания кредитной карты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Согласно заявления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на получение кредитной карты</w:t>
      </w:r>
      <w:r>
        <w:rPr>
          <w:rFonts w:ascii="Times New Roman" w:eastAsia="Times New Roman" w:hAnsi="Times New Roman" w:cs="Times New Roman"/>
          <w:sz w:val="28"/>
          <w:szCs w:val="28"/>
          <w:highlight w:val="none"/>
        </w:rPr>
        <w:t xml:space="preserve"> и индивидуальных условий выпуска и обслуживания кредитной карты ПАО Сбербанк</w:t>
      </w:r>
      <w:r>
        <w:rPr>
          <w:rFonts w:ascii="Times New Roman" w:eastAsia="Times New Roman" w:hAnsi="Times New Roman" w:cs="Times New Roman"/>
          <w:sz w:val="28"/>
          <w:szCs w:val="28"/>
          <w:highlight w:val="none"/>
        </w:rPr>
        <w:t xml:space="preserve">, сторонами были согласованы следующие условия: сумма </w:t>
      </w:r>
      <w:r>
        <w:rPr>
          <w:rFonts w:ascii="Times New Roman" w:eastAsia="Times New Roman" w:hAnsi="Times New Roman" w:cs="Times New Roman"/>
          <w:sz w:val="28"/>
          <w:szCs w:val="28"/>
          <w:highlight w:val="none"/>
        </w:rPr>
        <w:t xml:space="preserve">(лимит) </w:t>
      </w:r>
      <w:r>
        <w:rPr>
          <w:rFonts w:ascii="Times New Roman" w:eastAsia="Times New Roman" w:hAnsi="Times New Roman" w:cs="Times New Roman"/>
          <w:sz w:val="28"/>
          <w:szCs w:val="28"/>
          <w:highlight w:val="none"/>
        </w:rPr>
        <w:t xml:space="preserve">кредита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Sumgrp-8rplc-1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процентная ставка по кредиту – </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годовых; полная стоимость кредита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24,049</w:t>
      </w:r>
      <w:r>
        <w:rPr>
          <w:rFonts w:ascii="Times New Roman" w:eastAsia="Times New Roman" w:hAnsi="Times New Roman" w:cs="Times New Roman"/>
          <w:sz w:val="28"/>
          <w:szCs w:val="28"/>
          <w:highlight w:val="none"/>
        </w:rPr>
        <w:t xml:space="preserve"> % годовых; дата ежемесячного платежа – не позднее 20 дней с даты формирования отчета</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В соответствии с положениями п.1 ст.329 ГК РФ, </w:t>
      </w:r>
      <w:r>
        <w:rPr>
          <w:rFonts w:ascii="Times New Roman" w:eastAsia="Times New Roman" w:hAnsi="Times New Roman" w:cs="Times New Roman"/>
          <w:sz w:val="28"/>
          <w:szCs w:val="28"/>
          <w:highlight w:val="none"/>
        </w:rPr>
        <w:t>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В соответствии с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Пунктом 12 Индивидуальных условий предусмотрено, что за несвоевременное погашение обязательных платежей взимается неустойка в размере 36 процентов годовых.</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Проанализировав условия договора, суд считает, что в договоре отражены все существенные условия такого договора: сумма </w:t>
      </w:r>
      <w:r>
        <w:rPr>
          <w:rFonts w:ascii="Times New Roman" w:eastAsia="Times New Roman" w:hAnsi="Times New Roman" w:cs="Times New Roman"/>
          <w:sz w:val="28"/>
          <w:szCs w:val="28"/>
          <w:highlight w:val="none"/>
        </w:rPr>
        <w:t>кредита</w:t>
      </w:r>
      <w:r>
        <w:rPr>
          <w:rFonts w:ascii="Times New Roman" w:eastAsia="Times New Roman" w:hAnsi="Times New Roman" w:cs="Times New Roman"/>
          <w:sz w:val="28"/>
          <w:szCs w:val="28"/>
          <w:highlight w:val="none"/>
        </w:rPr>
        <w:t xml:space="preserve">, срок пользования </w:t>
      </w:r>
      <w:r>
        <w:rPr>
          <w:rFonts w:ascii="Times New Roman" w:eastAsia="Times New Roman" w:hAnsi="Times New Roman" w:cs="Times New Roman"/>
          <w:sz w:val="28"/>
          <w:szCs w:val="28"/>
          <w:highlight w:val="none"/>
        </w:rPr>
        <w:t>кредитом</w:t>
      </w:r>
      <w:r>
        <w:rPr>
          <w:rFonts w:ascii="Times New Roman" w:eastAsia="Times New Roman" w:hAnsi="Times New Roman" w:cs="Times New Roman"/>
          <w:sz w:val="28"/>
          <w:szCs w:val="28"/>
          <w:highlight w:val="none"/>
        </w:rPr>
        <w:t xml:space="preserve">,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условиями договора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был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согласн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что подтвердил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своей подписью </w:t>
      </w:r>
      <w:r>
        <w:rPr>
          <w:rFonts w:ascii="Times New Roman" w:eastAsia="Times New Roman" w:hAnsi="Times New Roman" w:cs="Times New Roman"/>
          <w:sz w:val="28"/>
          <w:szCs w:val="28"/>
          <w:highlight w:val="none"/>
        </w:rPr>
        <w:t>в заявление</w:t>
      </w:r>
      <w:r>
        <w:rPr>
          <w:rFonts w:ascii="Times New Roman" w:eastAsia="Times New Roman" w:hAnsi="Times New Roman" w:cs="Times New Roman"/>
          <w:sz w:val="28"/>
          <w:szCs w:val="28"/>
          <w:highlight w:val="none"/>
        </w:rPr>
        <w:t xml:space="preserve"> на получение кредитной карты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кредитном </w:t>
      </w:r>
      <w:r>
        <w:rPr>
          <w:rFonts w:ascii="Times New Roman" w:eastAsia="Times New Roman" w:hAnsi="Times New Roman" w:cs="Times New Roman"/>
          <w:sz w:val="28"/>
          <w:szCs w:val="28"/>
          <w:highlight w:val="none"/>
        </w:rPr>
        <w:t>договоре</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Во исполнение заключенного договора ответчику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выдана кредитная карта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лимитом кредита </w:t>
      </w:r>
      <w:r>
        <w:rPr>
          <w:rStyle w:val="cat-Sumgrp-8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 открыт сч</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т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40817810640033554561</w:t>
      </w:r>
      <w:r>
        <w:rPr>
          <w:rFonts w:ascii="Times New Roman" w:eastAsia="Times New Roman" w:hAnsi="Times New Roman" w:cs="Times New Roman"/>
          <w:sz w:val="28"/>
          <w:szCs w:val="28"/>
          <w:highlight w:val="none"/>
        </w:rPr>
        <w:t xml:space="preserve"> на условиях, определенных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а также открыт ссудный счет </w:t>
      </w:r>
      <w:r>
        <w:rPr>
          <w:rFonts w:ascii="Times New Roman" w:eastAsia="Times New Roman" w:hAnsi="Times New Roman" w:cs="Times New Roman"/>
          <w:sz w:val="28"/>
          <w:szCs w:val="28"/>
          <w:highlight w:val="none"/>
        </w:rPr>
        <w:t>д</w:t>
      </w:r>
      <w:r>
        <w:rPr>
          <w:rFonts w:ascii="Times New Roman" w:eastAsia="Times New Roman" w:hAnsi="Times New Roman" w:cs="Times New Roman"/>
          <w:sz w:val="28"/>
          <w:szCs w:val="28"/>
          <w:highlight w:val="none"/>
        </w:rPr>
        <w:t xml:space="preserve">ля отражения операций, проводимых с использованием кредитной карты в соответствии с заключенным кредитным договором. </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"http://sudact.ru/law/gk-rf-chast1/razdel-iii/podrazdel-1_1/glava-22/statia-309/"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309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w:t>
      </w:r>
      <w:r>
        <w:rPr>
          <w:rFonts w:ascii="Times New Roman" w:eastAsia="Times New Roman" w:hAnsi="Times New Roman" w:cs="Times New Roman"/>
          <w:sz w:val="28"/>
          <w:szCs w:val="28"/>
          <w:highlight w:val="none"/>
        </w:rPr>
        <w:t xml:space="preserve"> РФ обязательства должны исполняться надлежащим образом в соответствии с условиями обязательства и требования закона.</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Как следует из материалов дела, о</w:t>
      </w:r>
      <w:r>
        <w:rPr>
          <w:rFonts w:ascii="Times New Roman" w:eastAsia="Times New Roman" w:hAnsi="Times New Roman" w:cs="Times New Roman"/>
          <w:sz w:val="28"/>
          <w:szCs w:val="28"/>
          <w:highlight w:val="none"/>
        </w:rPr>
        <w:t xml:space="preserve">тветчик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свои обязательства по </w:t>
      </w:r>
      <w:r>
        <w:rPr>
          <w:rFonts w:ascii="Times New Roman" w:eastAsia="Times New Roman" w:hAnsi="Times New Roman" w:cs="Times New Roman"/>
          <w:sz w:val="28"/>
          <w:szCs w:val="28"/>
          <w:highlight w:val="none"/>
        </w:rPr>
        <w:t xml:space="preserve">эмиссионному контракту </w:t>
      </w:r>
      <w:r>
        <w:rPr>
          <w:rFonts w:ascii="Times New Roman" w:eastAsia="Times New Roman" w:hAnsi="Times New Roman" w:cs="Times New Roman"/>
          <w:sz w:val="28"/>
          <w:szCs w:val="28"/>
          <w:highlight w:val="none"/>
        </w:rPr>
        <w:t xml:space="preserve">надлежащим образом не исполняет, </w:t>
      </w:r>
      <w:r>
        <w:rPr>
          <w:rFonts w:ascii="Times New Roman" w:eastAsia="Times New Roman" w:hAnsi="Times New Roman" w:cs="Times New Roman"/>
          <w:sz w:val="28"/>
          <w:szCs w:val="28"/>
          <w:highlight w:val="none"/>
        </w:rPr>
        <w:t>в связи с чем</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за период с 16.03.2020 по 13.01.2021 у не</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образовалась задолженность в размере </w:t>
      </w:r>
      <w:r>
        <w:rPr>
          <w:rStyle w:val="cat-Sumgrp-9rplc-2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1rplc-2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росроченный основной долг,</w:t>
      </w:r>
      <w:r>
        <w:rPr>
          <w:rFonts w:ascii="Times New Roman" w:eastAsia="Times New Roman" w:hAnsi="Times New Roman" w:cs="Times New Roman"/>
          <w:sz w:val="28"/>
          <w:szCs w:val="28"/>
          <w:highlight w:val="none"/>
        </w:rPr>
        <w:t xml:space="preserve"> </w:t>
      </w:r>
      <w:r>
        <w:rPr>
          <w:rStyle w:val="cat-Sumgrp-12rplc-2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просроченные проценты, </w:t>
      </w:r>
      <w:r>
        <w:rPr>
          <w:rStyle w:val="cat-Sumgrp-13rplc-2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еустойка</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ПАО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w:t>
      </w:r>
      <w:r>
        <w:rPr>
          <w:rFonts w:ascii="Times New Roman" w:eastAsia="Times New Roman" w:hAnsi="Times New Roman" w:cs="Times New Roman"/>
          <w:sz w:val="28"/>
          <w:szCs w:val="28"/>
          <w:highlight w:val="none"/>
        </w:rPr>
        <w:t xml:space="preserve">направил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Н.А.</w:t>
      </w:r>
      <w:r>
        <w:rPr>
          <w:rFonts w:ascii="Times New Roman" w:eastAsia="Times New Roman" w:hAnsi="Times New Roman" w:cs="Times New Roman"/>
          <w:sz w:val="28"/>
          <w:szCs w:val="28"/>
          <w:highlight w:val="none"/>
        </w:rPr>
        <w:t xml:space="preserve"> требование о досрочном возврате суммы кредита, процентов за пользование кредитом и уплате неустойки, однако данное требование исполнено не было</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"2/56"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56 ГПК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содержание которой следует рассматривать в контексте с положениями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"2/123"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123</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Конституции РФ и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"2/12"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12 ГПК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Согласно ч.3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Поскольку факт предоставления денежных сре</w:t>
      </w:r>
      <w:r>
        <w:rPr>
          <w:rFonts w:ascii="Times New Roman" w:eastAsia="Times New Roman" w:hAnsi="Times New Roman" w:cs="Times New Roman"/>
          <w:sz w:val="28"/>
          <w:szCs w:val="28"/>
          <w:highlight w:val="none"/>
        </w:rPr>
        <w:t>дств в с</w:t>
      </w:r>
      <w:r>
        <w:rPr>
          <w:rFonts w:ascii="Times New Roman" w:eastAsia="Times New Roman" w:hAnsi="Times New Roman" w:cs="Times New Roman"/>
          <w:sz w:val="28"/>
          <w:szCs w:val="28"/>
          <w:highlight w:val="none"/>
        </w:rPr>
        <w:t>оответствии с условиями кредитного договора, ответчиком не 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ме.</w:t>
      </w:r>
    </w:p>
    <w:p>
      <w:pPr>
        <w:spacing w:before="0" w:after="0"/>
        <w:ind w:right="425" w:firstLine="709"/>
        <w:jc w:val="both"/>
        <w:rPr>
          <w:sz w:val="28"/>
          <w:szCs w:val="28"/>
        </w:rPr>
      </w:pPr>
      <w:r>
        <w:rPr>
          <w:rFonts w:ascii="Times New Roman" w:eastAsia="Times New Roman" w:hAnsi="Times New Roman" w:cs="Times New Roman"/>
          <w:sz w:val="28"/>
          <w:szCs w:val="28"/>
          <w:highlight w:val="none"/>
        </w:rPr>
        <w:t>Ответчиком расч</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т суммы основного долга</w:t>
      </w:r>
      <w:r>
        <w:rPr>
          <w:rFonts w:ascii="Times New Roman" w:eastAsia="Times New Roman" w:hAnsi="Times New Roman" w:cs="Times New Roman"/>
          <w:sz w:val="28"/>
          <w:szCs w:val="28"/>
          <w:highlight w:val="none"/>
        </w:rPr>
        <w:t>, процентов</w:t>
      </w:r>
      <w:r>
        <w:rPr>
          <w:rFonts w:ascii="Times New Roman" w:eastAsia="Times New Roman" w:hAnsi="Times New Roman" w:cs="Times New Roman"/>
          <w:sz w:val="28"/>
          <w:szCs w:val="28"/>
          <w:highlight w:val="none"/>
        </w:rPr>
        <w:t xml:space="preserve"> и неустойки, предоставленный истцом, не оспорен, объективных доказательств, опровергающих факт ненадлежащего исполнения за</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мщиком принятых на себя обязательств, а также доказательств, которые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т истца арифметически верным и считает, что он может быть положен в основу решения суда.</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В соответствии с ч.1 ст.98 ГПК РФ стороне, в пользу которой состоялось решение суда, суд присуждает возместить с другой стороны все понесенные по делу судебные расходы пропорционально размеру удовлетворенных судом </w:t>
      </w:r>
      <w:r>
        <w:rPr>
          <w:rFonts w:ascii="Times New Roman" w:eastAsia="Times New Roman" w:hAnsi="Times New Roman" w:cs="Times New Roman"/>
          <w:sz w:val="28"/>
          <w:szCs w:val="28"/>
          <w:highlight w:val="none"/>
        </w:rPr>
        <w:t xml:space="preserve">исковых требований, в связи с чем, с ответчика в пользу истца надлежит взыскать расходы по уплате государственной пошлины </w:t>
      </w:r>
      <w:r>
        <w:rPr>
          <w:rFonts w:ascii="Times New Roman" w:eastAsia="Times New Roman" w:hAnsi="Times New Roman" w:cs="Times New Roman"/>
          <w:sz w:val="28"/>
          <w:szCs w:val="28"/>
          <w:highlight w:val="none"/>
        </w:rPr>
        <w:t>в размере</w:t>
      </w:r>
      <w:r>
        <w:rPr>
          <w:rFonts w:ascii="Times New Roman" w:eastAsia="Times New Roman" w:hAnsi="Times New Roman" w:cs="Times New Roman"/>
          <w:i/>
          <w:iCs/>
          <w:sz w:val="28"/>
          <w:szCs w:val="28"/>
          <w:highlight w:val="none"/>
        </w:rPr>
        <w:t xml:space="preserve"> </w:t>
      </w:r>
      <w:r>
        <w:rPr>
          <w:rFonts w:ascii="Times New Roman" w:eastAsia="Times New Roman" w:hAnsi="Times New Roman" w:cs="Times New Roman"/>
          <w:sz w:val="28"/>
          <w:szCs w:val="28"/>
          <w:highlight w:val="none"/>
        </w:rPr>
        <w:t xml:space="preserve">в размере </w:t>
      </w:r>
      <w:r>
        <w:rPr>
          <w:rStyle w:val="cat-Sumgrp-10rplc-2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w:t>
      </w:r>
      <w:r>
        <w:rPr>
          <w:rFonts w:ascii="Times New Roman" w:eastAsia="Times New Roman" w:hAnsi="Times New Roman" w:cs="Times New Roman"/>
          <w:sz w:val="28"/>
          <w:szCs w:val="28"/>
          <w:highlight w:val="none"/>
        </w:rPr>
        <w:t>оженного</w:t>
      </w:r>
      <w:r>
        <w:rPr>
          <w:rFonts w:ascii="Times New Roman" w:eastAsia="Times New Roman" w:hAnsi="Times New Roman" w:cs="Times New Roman"/>
          <w:sz w:val="28"/>
          <w:szCs w:val="28"/>
          <w:highlight w:val="none"/>
        </w:rPr>
        <w:t>, руководствуясь ст.ст.</w:t>
      </w:r>
      <w:r>
        <w:rPr>
          <w:rFonts w:ascii="Times New Roman" w:eastAsia="Times New Roman" w:hAnsi="Times New Roman" w:cs="Times New Roman"/>
          <w:sz w:val="28"/>
          <w:szCs w:val="28"/>
          <w:highlight w:val="none"/>
        </w:rPr>
        <w:t>194-19</w:t>
      </w:r>
      <w:r>
        <w:rPr>
          <w:rFonts w:ascii="Times New Roman" w:eastAsia="Times New Roman" w:hAnsi="Times New Roman" w:cs="Times New Roman"/>
          <w:sz w:val="28"/>
          <w:szCs w:val="28"/>
          <w:highlight w:val="none"/>
        </w:rPr>
        <w:t>8</w:t>
      </w:r>
      <w:r>
        <w:rPr>
          <w:rFonts w:ascii="Times New Roman" w:eastAsia="Times New Roman" w:hAnsi="Times New Roman" w:cs="Times New Roman"/>
          <w:sz w:val="28"/>
          <w:szCs w:val="28"/>
          <w:highlight w:val="none"/>
        </w:rPr>
        <w:t xml:space="preserve"> ГПК РФ, суд</w:t>
      </w:r>
    </w:p>
    <w:p>
      <w:pPr>
        <w:spacing w:before="0" w:after="0"/>
        <w:ind w:right="425" w:firstLine="709"/>
        <w:jc w:val="both"/>
        <w:rPr>
          <w:sz w:val="28"/>
          <w:szCs w:val="28"/>
        </w:rPr>
      </w:pPr>
    </w:p>
    <w:p>
      <w:pPr>
        <w:spacing w:before="0" w:after="0"/>
        <w:ind w:right="425" w:firstLine="709"/>
        <w:jc w:val="center"/>
        <w:rPr>
          <w:sz w:val="28"/>
          <w:szCs w:val="28"/>
        </w:rPr>
      </w:pPr>
      <w:r>
        <w:rPr>
          <w:rFonts w:ascii="Times New Roman" w:eastAsia="Times New Roman" w:hAnsi="Times New Roman" w:cs="Times New Roman"/>
          <w:sz w:val="28"/>
          <w:szCs w:val="28"/>
          <w:highlight w:val="none"/>
        </w:rPr>
        <w:t>решил</w:t>
      </w:r>
      <w:r>
        <w:rPr>
          <w:rFonts w:ascii="Times New Roman" w:eastAsia="Times New Roman" w:hAnsi="Times New Roman" w:cs="Times New Roman"/>
          <w:sz w:val="28"/>
          <w:szCs w:val="28"/>
          <w:highlight w:val="none"/>
        </w:rPr>
        <w:t>:</w:t>
      </w:r>
    </w:p>
    <w:p>
      <w:pPr>
        <w:spacing w:before="0" w:after="0"/>
        <w:ind w:right="425" w:firstLine="709"/>
        <w:jc w:val="both"/>
        <w:rPr>
          <w:sz w:val="28"/>
          <w:szCs w:val="28"/>
        </w:rPr>
      </w:pP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России» </w:t>
      </w:r>
      <w:r>
        <w:rPr>
          <w:rFonts w:ascii="Times New Roman" w:eastAsia="Times New Roman" w:hAnsi="Times New Roman" w:cs="Times New Roman"/>
          <w:sz w:val="28"/>
          <w:szCs w:val="28"/>
          <w:highlight w:val="none"/>
        </w:rPr>
        <w:t xml:space="preserve">в </w:t>
      </w:r>
      <w:r>
        <w:rPr>
          <w:rFonts w:ascii="Times New Roman" w:eastAsia="Times New Roman" w:hAnsi="Times New Roman" w:cs="Times New Roman"/>
          <w:sz w:val="28"/>
          <w:szCs w:val="28"/>
          <w:highlight w:val="none"/>
        </w:rPr>
        <w:t xml:space="preserve">лице филиала – Среднерусский банк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к Чистяковой Наталье Андреевне о взыскании задолженности по кредитной карте,</w:t>
      </w:r>
      <w:r>
        <w:rPr>
          <w:rFonts w:ascii="Times New Roman" w:eastAsia="Times New Roman" w:hAnsi="Times New Roman" w:cs="Times New Roman"/>
          <w:sz w:val="28"/>
          <w:szCs w:val="28"/>
          <w:highlight w:val="none"/>
        </w:rPr>
        <w:t xml:space="preserve"> судебных расходов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удовлетворить.</w:t>
      </w:r>
    </w:p>
    <w:p>
      <w:pPr>
        <w:spacing w:before="0" w:after="0"/>
        <w:ind w:right="425" w:firstLine="709"/>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Чистяков</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Натальи Андреевны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пользу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Среднерусский банк</w:t>
      </w:r>
      <w:r>
        <w:rPr>
          <w:rFonts w:ascii="Times New Roman" w:eastAsia="Times New Roman" w:hAnsi="Times New Roman" w:cs="Times New Roman"/>
          <w:sz w:val="28"/>
          <w:szCs w:val="28"/>
          <w:highlight w:val="none"/>
        </w:rPr>
        <w:t xml:space="preserve">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задолженность по </w:t>
      </w:r>
      <w:r>
        <w:rPr>
          <w:rFonts w:ascii="Times New Roman" w:eastAsia="Times New Roman" w:hAnsi="Times New Roman" w:cs="Times New Roman"/>
          <w:sz w:val="28"/>
          <w:szCs w:val="28"/>
          <w:highlight w:val="none"/>
        </w:rPr>
        <w:t>кредитной карте</w:t>
      </w:r>
      <w:r>
        <w:rPr>
          <w:rFonts w:ascii="Times New Roman" w:eastAsia="Times New Roman" w:hAnsi="Times New Roman" w:cs="Times New Roman"/>
          <w:sz w:val="28"/>
          <w:szCs w:val="28"/>
          <w:highlight w:val="none"/>
        </w:rPr>
        <w:t xml:space="preserve"> в размере </w:t>
      </w:r>
      <w:r>
        <w:rPr>
          <w:rStyle w:val="cat-Sumgrp-9rplc-3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уплате государственной пошлины в размере </w:t>
      </w:r>
      <w:r>
        <w:rPr>
          <w:rStyle w:val="cat-Sumgrp-10rplc-31"/>
          <w:rFonts w:ascii="Times New Roman" w:eastAsia="Times New Roman" w:hAnsi="Times New Roman" w:cs="Times New Roman"/>
          <w:sz w:val="28"/>
          <w:szCs w:val="28"/>
          <w:highlight w:val="none"/>
        </w:rPr>
        <w:t>сумма</w:t>
      </w:r>
    </w:p>
    <w:p>
      <w:pPr>
        <w:spacing w:before="0" w:after="0"/>
        <w:ind w:right="425" w:firstLine="709"/>
        <w:jc w:val="both"/>
        <w:rPr>
          <w:sz w:val="28"/>
          <w:szCs w:val="28"/>
        </w:rPr>
      </w:pPr>
      <w:r>
        <w:rPr>
          <w:rFonts w:ascii="Times New Roman" w:eastAsia="Times New Roman" w:hAnsi="Times New Roman" w:cs="Times New Roman"/>
          <w:sz w:val="28"/>
          <w:szCs w:val="28"/>
          <w:highlight w:val="none"/>
        </w:rPr>
        <w:t>Решение может быть обжаловано в апелляционном порядке в Московский городской суд</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течение месяца со дня принятия решения суда в окончательной форме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через Гагаринский районный суд </w:t>
      </w:r>
      <w:r>
        <w:rPr>
          <w:rStyle w:val="cat-Addressgrp-1rplc-3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Решение суда в окончательной форме принято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9 ию</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я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года</w:t>
      </w:r>
    </w:p>
    <w:p>
      <w:pPr>
        <w:spacing w:before="0" w:after="0"/>
        <w:ind w:right="567" w:firstLine="567"/>
        <w:jc w:val="both"/>
        <w:rPr>
          <w:sz w:val="28"/>
          <w:szCs w:val="28"/>
        </w:rPr>
      </w:pPr>
    </w:p>
    <w:p>
      <w:pPr>
        <w:spacing w:before="0" w:after="0"/>
        <w:ind w:right="567"/>
        <w:jc w:val="both"/>
        <w:rPr>
          <w:sz w:val="28"/>
          <w:szCs w:val="28"/>
        </w:rPr>
      </w:pPr>
    </w:p>
    <w:p>
      <w:pPr>
        <w:spacing w:before="0" w:after="0"/>
        <w:ind w:right="567"/>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Л.В. </w:t>
      </w:r>
      <w:r>
        <w:rPr>
          <w:rFonts w:ascii="Times New Roman" w:eastAsia="Times New Roman" w:hAnsi="Times New Roman" w:cs="Times New Roman"/>
          <w:sz w:val="28"/>
          <w:szCs w:val="28"/>
          <w:highlight w:val="none"/>
        </w:rPr>
        <w:t>Штогрина</w:t>
      </w: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p>
      <w:pPr>
        <w:spacing w:before="0" w:after="0"/>
        <w:ind w:right="567"/>
        <w:jc w:val="both"/>
        <w:rPr>
          <w:sz w:val="28"/>
          <w:szCs w:val="28"/>
        </w:rPr>
      </w:pPr>
    </w:p>
    <w:p>
      <w:pPr>
        <w:spacing w:before="0" w:after="0"/>
        <w:ind w:right="567" w:firstLine="567"/>
        <w:jc w:val="both"/>
        <w:rPr>
          <w:sz w:val="28"/>
          <w:szCs w:val="28"/>
        </w:rPr>
      </w:pPr>
    </w:p>
    <w:p>
      <w:pPr>
        <w:spacing w:before="0" w:after="0"/>
        <w:ind w:right="567" w:firstLine="567"/>
        <w:jc w:val="both"/>
        <w:rPr>
          <w:sz w:val="28"/>
          <w:szCs w:val="28"/>
        </w:rPr>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center"/>
      <w:rPr>
        <w:sz w:val="22"/>
        <w:szCs w:val="2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3rplc-3">
    <w:name w:val="cat-FIO grp-3 rplc-3"/>
    <w:basedOn w:val="DefaultParagraphFont"/>
  </w:style>
  <w:style w:type="character" w:customStyle="1" w:styleId="cat-Sumgrp-8rplc-9">
    <w:name w:val="cat-Sum grp-8 rplc-9"/>
    <w:basedOn w:val="DefaultParagraphFont"/>
  </w:style>
  <w:style w:type="character" w:customStyle="1" w:styleId="cat-Sumgrp-9rplc-10">
    <w:name w:val="cat-Sum grp-9 rplc-10"/>
    <w:basedOn w:val="DefaultParagraphFont"/>
  </w:style>
  <w:style w:type="character" w:customStyle="1" w:styleId="cat-Sumgrp-9rplc-11">
    <w:name w:val="cat-Sum grp-9 rplc-11"/>
    <w:basedOn w:val="DefaultParagraphFont"/>
  </w:style>
  <w:style w:type="character" w:customStyle="1" w:styleId="cat-Sumgrp-10rplc-12">
    <w:name w:val="cat-Sum grp-10 rplc-12"/>
    <w:basedOn w:val="DefaultParagraphFont"/>
  </w:style>
  <w:style w:type="character" w:customStyle="1" w:styleId="cat-Sumgrp-8rplc-17">
    <w:name w:val="cat-Sum grp-8 rplc-17"/>
    <w:basedOn w:val="DefaultParagraphFont"/>
  </w:style>
  <w:style w:type="character" w:customStyle="1" w:styleId="cat-Sumgrp-8rplc-20">
    <w:name w:val="cat-Sum grp-8 rplc-20"/>
    <w:basedOn w:val="DefaultParagraphFont"/>
  </w:style>
  <w:style w:type="character" w:customStyle="1" w:styleId="cat-Sumgrp-9rplc-22">
    <w:name w:val="cat-Sum grp-9 rplc-22"/>
    <w:basedOn w:val="DefaultParagraphFont"/>
  </w:style>
  <w:style w:type="character" w:customStyle="1" w:styleId="cat-Sumgrp-11rplc-23">
    <w:name w:val="cat-Sum grp-11 rplc-23"/>
    <w:basedOn w:val="DefaultParagraphFont"/>
  </w:style>
  <w:style w:type="character" w:customStyle="1" w:styleId="cat-Sumgrp-12rplc-24">
    <w:name w:val="cat-Sum grp-12 rplc-24"/>
    <w:basedOn w:val="DefaultParagraphFont"/>
  </w:style>
  <w:style w:type="character" w:customStyle="1" w:styleId="cat-Sumgrp-13rplc-25">
    <w:name w:val="cat-Sum grp-13 rplc-25"/>
    <w:basedOn w:val="DefaultParagraphFont"/>
  </w:style>
  <w:style w:type="character" w:customStyle="1" w:styleId="cat-Sumgrp-10rplc-27">
    <w:name w:val="cat-Sum grp-10 rplc-27"/>
    <w:basedOn w:val="DefaultParagraphFont"/>
  </w:style>
  <w:style w:type="character" w:customStyle="1" w:styleId="cat-Sumgrp-9rplc-30">
    <w:name w:val="cat-Sum grp-9 rplc-30"/>
    <w:basedOn w:val="DefaultParagraphFont"/>
  </w:style>
  <w:style w:type="character" w:customStyle="1" w:styleId="cat-Sumgrp-10rplc-31">
    <w:name w:val="cat-Sum grp-10 rplc-31"/>
    <w:basedOn w:val="DefaultParagraphFont"/>
  </w:style>
  <w:style w:type="character" w:customStyle="1" w:styleId="cat-Addressgrp-1rplc-32">
    <w:name w:val="cat-Address grp-1 rplc-3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