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C85EDF">
      <w:pPr>
        <w:widowControl w:val="0"/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77RS0004-02-2022-001125-65</w:t>
      </w:r>
    </w:p>
    <w:p w:rsidR="00000000" w:rsidRDefault="00C85EDF">
      <w:pPr>
        <w:widowControl w:val="0"/>
        <w:ind w:firstLine="567"/>
        <w:jc w:val="center"/>
        <w:rPr>
          <w:lang w:val="en-BE" w:eastAsia="en-BE" w:bidi="ar-SA"/>
        </w:rPr>
      </w:pPr>
    </w:p>
    <w:p w:rsidR="00000000" w:rsidRDefault="00C85EDF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C85EDF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C85EDF">
      <w:pPr>
        <w:widowControl w:val="0"/>
        <w:ind w:firstLine="567"/>
        <w:rPr>
          <w:lang w:val="en-BE" w:eastAsia="en-BE" w:bidi="ar-SA"/>
        </w:rPr>
      </w:pPr>
    </w:p>
    <w:p w:rsidR="00000000" w:rsidRDefault="00C85EDF">
      <w:pPr>
        <w:widowControl w:val="0"/>
        <w:ind w:firstLine="567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25 марта 2022 года</w:t>
      </w:r>
    </w:p>
    <w:p w:rsidR="00000000" w:rsidRDefault="00C85EDF">
      <w:pPr>
        <w:widowControl w:val="0"/>
        <w:ind w:firstLine="567"/>
        <w:jc w:val="both"/>
        <w:rPr>
          <w:lang w:val="en-BE" w:eastAsia="en-BE" w:bidi="ar-SA"/>
        </w:rPr>
      </w:pPr>
    </w:p>
    <w:p w:rsidR="00000000" w:rsidRDefault="00C85ED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Шестакова Д.Г., при секретаре Маршалиной А.М.,</w:t>
      </w:r>
      <w:r>
        <w:rPr>
          <w:lang w:val="en-BE" w:eastAsia="en-BE" w:bidi="ar-SA"/>
        </w:rPr>
        <w:t xml:space="preserve"> рассмотрев в открытом судебном заседании гражданское дело № 2-2726/2022 по иску ПАО «Сбербанк России» в лице филиала – Московского банка ПАО Сбербанк к Скобенко Денису Алексеевичу о взыскании задолженности по эмиссионному контракту,</w:t>
      </w:r>
    </w:p>
    <w:p w:rsidR="00000000" w:rsidRDefault="00C85EDF">
      <w:pPr>
        <w:widowControl w:val="0"/>
        <w:ind w:firstLine="567"/>
        <w:jc w:val="both"/>
        <w:rPr>
          <w:lang w:val="en-BE" w:eastAsia="en-BE" w:bidi="ar-SA"/>
        </w:rPr>
      </w:pPr>
    </w:p>
    <w:p w:rsidR="00000000" w:rsidRDefault="00C85ED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</w:t>
      </w:r>
      <w:r>
        <w:rPr>
          <w:lang w:val="en-BE" w:eastAsia="en-BE" w:bidi="ar-SA"/>
        </w:rPr>
        <w:t xml:space="preserve"> «Сбербанк России» в лице филиала Московского банка ПАО Сбербанк обратился в суд с иском к ответчику Скобенко Д.А. взыскании ссудной задолженности по эмиссионному контракту, указав, что между ПАО «Сбербанк России» и Скобенко Д.А. 16 марта 2011 года заключе</w:t>
      </w:r>
      <w:r>
        <w:rPr>
          <w:lang w:val="en-BE" w:eastAsia="en-BE" w:bidi="ar-SA"/>
        </w:rPr>
        <w:t>н эмиссионный контракт №0910-Р-387978818 на предоставление Скобенко Д.А. возобновляемой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рублях. Договор з</w:t>
      </w:r>
      <w:r>
        <w:rPr>
          <w:lang w:val="en-BE" w:eastAsia="en-BE" w:bidi="ar-SA"/>
        </w:rPr>
        <w:t>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 Во исполнение заключенного догово</w:t>
      </w:r>
      <w:r>
        <w:rPr>
          <w:lang w:val="en-BE" w:eastAsia="en-BE" w:bidi="ar-SA"/>
        </w:rPr>
        <w:t xml:space="preserve">ра Скобенко Д.А. выдана кредитная карта с лимитом кредита </w:t>
      </w:r>
      <w:r>
        <w:rPr>
          <w:rStyle w:val="cat-Sumgrp-8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18,00% годовых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 заключенным кр</w:t>
      </w:r>
      <w:r>
        <w:rPr>
          <w:lang w:val="en-BE" w:eastAsia="en-BE" w:bidi="ar-SA"/>
        </w:rPr>
        <w:t>едитным договором. При этом Сбербанк России обязался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сумм, обязательных платежей по карте</w:t>
      </w:r>
      <w:r>
        <w:rPr>
          <w:lang w:val="en-BE" w:eastAsia="en-BE" w:bidi="ar-SA"/>
        </w:rPr>
        <w:t>. Погашение кредита и уплата процентов за его использование осуществляется ежемесячно по частям или полностью в соответствии с информацией, указанной в отчете, путём пополнения счета карты не позднее 20-ти календарных дней с даты формирования отчета по кар</w:t>
      </w:r>
      <w:r>
        <w:rPr>
          <w:lang w:val="en-BE" w:eastAsia="en-BE" w:bidi="ar-SA"/>
        </w:rPr>
        <w:t xml:space="preserve">те. Ответчиком платежи в счет погашения задолженности по кредиту производились с нарушением в части сроков и сумм, обязательных к погашению, и по состоянию на 11.02.2022 года образовалась задолженность в размере 573 290, 33 руб., из которых: </w:t>
      </w:r>
      <w:r>
        <w:rPr>
          <w:rStyle w:val="cat-Sumgrp-10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</w:t>
      </w:r>
      <w:r>
        <w:rPr>
          <w:lang w:val="en-BE" w:eastAsia="en-BE" w:bidi="ar-SA"/>
        </w:rPr>
        <w:t xml:space="preserve">ченный основной долг, </w:t>
      </w:r>
      <w:r>
        <w:rPr>
          <w:rStyle w:val="cat-Sumgrp-1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неустойка, </w:t>
      </w:r>
      <w:r>
        <w:rPr>
          <w:rStyle w:val="cat-Sumgrp-13rplc-14"/>
          <w:lang w:val="en-BE" w:eastAsia="en-BE" w:bidi="ar-SA"/>
        </w:rPr>
        <w:t>сумма</w:t>
      </w:r>
      <w:r>
        <w:rPr>
          <w:lang w:val="en-BE" w:eastAsia="en-BE" w:bidi="ar-SA"/>
        </w:rPr>
        <w:t>, комиссия банка. Поскольку претензионные требования банка об оплате задолженности оставлены ответчиком без внимания, ПАО «Сбербанк России» обратился в суд с указанными требования</w:t>
      </w:r>
      <w:r>
        <w:rPr>
          <w:lang w:val="en-BE" w:eastAsia="en-BE" w:bidi="ar-SA"/>
        </w:rPr>
        <w:t xml:space="preserve">ми, просит взыскать с ответчика задолженность по эмиссионному контракту №0910-Р-387978818 от 16.03.2011 в размере 573 290, 33 руб., а также расходы по уплате государственной пошлины в размере </w:t>
      </w:r>
      <w:r>
        <w:rPr>
          <w:rStyle w:val="cat-Sumgrp-14rplc-1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</w:t>
      </w:r>
      <w:r>
        <w:rPr>
          <w:lang w:val="en-BE" w:eastAsia="en-BE" w:bidi="ar-SA"/>
        </w:rPr>
        <w:t>Московского банка ПАО Сбербанк в судебное заседание не явился, о дате, месте и времени судебного заседания истец извещён надлежащим образом; при подаче искового заявления просил о рассмотрении дела в отсутствии представителя.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судебное заседание ответчик </w:t>
      </w:r>
      <w:r>
        <w:rPr>
          <w:lang w:val="en-BE" w:eastAsia="en-BE" w:bidi="ar-SA"/>
        </w:rPr>
        <w:t xml:space="preserve">не явился, причину неявки суду не сообщил, об отложении судебного разбирательства не ходатайствовал, письменный отзыв не представил. </w:t>
      </w:r>
      <w:r>
        <w:rPr>
          <w:lang w:val="en-BE" w:eastAsia="en-BE" w:bidi="ar-SA"/>
        </w:rPr>
        <w:lastRenderedPageBreak/>
        <w:t>Суд направлял по месту жительства/регистрации ответчика извещения о времени и месте судебного разбирательства поданному дел</w:t>
      </w:r>
      <w:r>
        <w:rPr>
          <w:lang w:val="en-BE" w:eastAsia="en-BE" w:bidi="ar-SA"/>
        </w:rPr>
        <w:t>у, однако судебные извещения возродились в суд без вручения адресату. При таких обстоятельствах суд приходит к выводу о том, что ответчик намеренно уклоняется от получения судебной корреспонденции в ОПС по месту своего жительства/регистрации, а также исход</w:t>
      </w:r>
      <w:r>
        <w:rPr>
          <w:lang w:val="en-BE" w:eastAsia="en-BE" w:bidi="ar-SA"/>
        </w:rPr>
        <w:t>ит из того, что в этом случае судебные извещения считаются доставленными, а риск их неполучения возлагается на ответчика (п. 1 ст. 165.1 ГК РФ; п. 67 и 68 Постановления Пленума Верховного Суда РФ от 23.06.2015 №25 «О применении судами некоторых положений р</w:t>
      </w:r>
      <w:r>
        <w:rPr>
          <w:lang w:val="en-BE" w:eastAsia="en-BE" w:bidi="ar-SA"/>
        </w:rPr>
        <w:t>аздела I части первой Гражданского кодекса Российской Федерации».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информация о дате и времени очередного судебного заседания в соответствии со статьями 14 и 16 ФЗ от 22.12.2008 № 262-ФЗ «Об обеспечении доступа к информации о деятельности судов </w:t>
      </w:r>
      <w:r>
        <w:rPr>
          <w:lang w:val="en-BE" w:eastAsia="en-BE" w:bidi="ar-SA"/>
        </w:rPr>
        <w:t>в Российской Федерации» заблаговременно размещается на интернет-сайте суда и является общедоступной.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положений ч. 4 ст. 167 ГПК РФ суд считает возможным рассмотреть дело в данном судебном заседании в отсутствие ответчика, который извещен надлежащи</w:t>
      </w:r>
      <w:r>
        <w:rPr>
          <w:lang w:val="en-BE" w:eastAsia="en-BE" w:bidi="ar-SA"/>
        </w:rPr>
        <w:t xml:space="preserve">м образом, по имеющимся в деле доказательствам. 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проанализировав и оценив собранные по делу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</w:t>
      </w:r>
      <w:r>
        <w:rPr>
          <w:lang w:val="en-BE" w:eastAsia="en-BE" w:bidi="ar-SA"/>
        </w:rPr>
        <w:t>, учитывая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совокупности, приходит к следующему.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5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6" w:history="1">
        <w:r>
          <w:rPr>
            <w:color w:val="0000EE"/>
            <w:lang w:val="en-BE" w:eastAsia="en-BE" w:bidi="ar-SA"/>
          </w:rPr>
          <w:t>123</w:t>
        </w:r>
      </w:hyperlink>
      <w:r>
        <w:rPr>
          <w:lang w:val="en-BE" w:eastAsia="en-BE" w:bidi="ar-SA"/>
        </w:rPr>
        <w:t xml:space="preserve"> Конституции РФ и ст.</w:t>
      </w:r>
      <w:hyperlink r:id="rId7" w:history="1">
        <w:r>
          <w:rPr>
            <w:color w:val="0000EE"/>
            <w:lang w:val="en-BE" w:eastAsia="en-BE" w:bidi="ar-SA"/>
          </w:rPr>
          <w:t>12 ГПК РФ</w:t>
        </w:r>
      </w:hyperlink>
      <w:r>
        <w:rPr>
          <w:lang w:val="en-BE" w:eastAsia="en-BE" w:bidi="ar-SA"/>
        </w:rPr>
        <w:t>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</w:t>
      </w:r>
      <w:r>
        <w:rPr>
          <w:lang w:val="en-BE" w:eastAsia="en-BE" w:bidi="ar-SA"/>
        </w:rPr>
        <w:t>ено федеральным законом.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ст.68 ГП</w:t>
      </w:r>
      <w:r>
        <w:rPr>
          <w:lang w:val="en-BE" w:eastAsia="en-BE" w:bidi="ar-SA"/>
        </w:rPr>
        <w:t>К РФ объяснения сторон и третьих лиц об известных им обстоятельствах, имеющих значение для правильного рассмотрения дела, подлежат проверке и оценке наряду с другими доказательствами. В случае, если сторона, обязанная доказывать свои требования или возраже</w:t>
      </w:r>
      <w:r>
        <w:rPr>
          <w:lang w:val="en-BE" w:eastAsia="en-BE" w:bidi="ar-SA"/>
        </w:rPr>
        <w:t>ния, удерживает находящиеся у нее доказательства и не представляет их суду, суд вправе обосновать свои выводы объяснениями другой стороны.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п. 1 ст. 12 ГПК РФ правосудие по гражданским делам осуществляется на основе состязательности и равнопр</w:t>
      </w:r>
      <w:r>
        <w:rPr>
          <w:lang w:val="en-BE" w:eastAsia="en-BE" w:bidi="ar-SA"/>
        </w:rPr>
        <w:t>авия сторон.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данном случае сторона ответчика, не освобожденная в силу закона доказывать свои возражения, не является по вызовам в суд, проявляет тем самым процессуальную пассивность при разрешении настоящего гражданского дела, и суд вправе обосновать сво</w:t>
      </w:r>
      <w:r>
        <w:rPr>
          <w:lang w:val="en-BE" w:eastAsia="en-BE" w:bidi="ar-SA"/>
        </w:rPr>
        <w:t>и выводы объяснениями и представленными истцом доказательствами.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п.2 ст.</w:t>
      </w:r>
      <w:hyperlink r:id="rId8" w:history="1">
        <w:r>
          <w:rPr>
            <w:color w:val="0000EE"/>
            <w:lang w:val="en-BE" w:eastAsia="en-BE" w:bidi="ar-SA"/>
          </w:rPr>
          <w:t>1</w:t>
        </w:r>
      </w:hyperlink>
      <w:r>
        <w:rPr>
          <w:lang w:val="en-BE" w:eastAsia="en-BE" w:bidi="ar-SA"/>
        </w:rPr>
        <w:t xml:space="preserve"> ГК РФ граждане приобретают и осуществляют свои гражданские права своей волей и в свое</w:t>
      </w:r>
      <w:r>
        <w:rPr>
          <w:lang w:val="en-BE" w:eastAsia="en-BE" w:bidi="ar-SA"/>
        </w:rPr>
        <w:t>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Договором признается соглашение двух или нескольких лиц об установлении, изменении или прекращен</w:t>
      </w:r>
      <w:r>
        <w:rPr>
          <w:lang w:val="en-BE" w:eastAsia="en-BE" w:bidi="ar-SA"/>
        </w:rPr>
        <w:t>ии гражданских прав и обязанностей (п.1 ст.</w:t>
      </w:r>
      <w:hyperlink r:id="rId9" w:history="1">
        <w:r>
          <w:rPr>
            <w:color w:val="0000EE"/>
            <w:lang w:val="en-BE" w:eastAsia="en-BE" w:bidi="ar-SA"/>
          </w:rPr>
          <w:t>420</w:t>
        </w:r>
      </w:hyperlink>
      <w:r>
        <w:rPr>
          <w:lang w:val="en-BE" w:eastAsia="en-BE" w:bidi="ar-SA"/>
        </w:rPr>
        <w:t xml:space="preserve"> ГК РФ).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п.3 ст.</w:t>
      </w:r>
      <w:hyperlink r:id="rId10" w:history="1">
        <w:r>
          <w:rPr>
            <w:color w:val="0000EE"/>
            <w:lang w:val="en-BE" w:eastAsia="en-BE" w:bidi="ar-SA"/>
          </w:rPr>
          <w:t>154</w:t>
        </w:r>
      </w:hyperlink>
      <w:r>
        <w:rPr>
          <w:lang w:val="en-BE" w:eastAsia="en-BE" w:bidi="ar-SA"/>
        </w:rPr>
        <w:t xml:space="preserve"> ГК РФ для заключения договора необходимо выражение согласованной воли двух сторон.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положений ст.</w:t>
      </w:r>
      <w:hyperlink r:id="rId11" w:history="1">
        <w:r>
          <w:rPr>
            <w:color w:val="0000EE"/>
            <w:lang w:val="en-BE" w:eastAsia="en-BE" w:bidi="ar-SA"/>
          </w:rPr>
          <w:t>421</w:t>
        </w:r>
      </w:hyperlink>
      <w:r>
        <w:rPr>
          <w:lang w:val="en-BE" w:eastAsia="en-BE" w:bidi="ar-SA"/>
        </w:rPr>
        <w:t xml:space="preserve"> ГК РФ следует, что принцип свободы до</w:t>
      </w:r>
      <w:r>
        <w:rPr>
          <w:lang w:val="en-BE" w:eastAsia="en-BE" w:bidi="ar-SA"/>
        </w:rPr>
        <w:t>говора является одним из наиболее важных гражданско-правовых принципов. В соответствии с гражданско-правовым смыслом указанной нормы права свобода договора заключается в том, что каждый участник гражданского оборота вправе самостоятельно решать, вступать и</w:t>
      </w:r>
      <w:r>
        <w:rPr>
          <w:lang w:val="en-BE" w:eastAsia="en-BE" w:bidi="ar-SA"/>
        </w:rPr>
        <w:t>ли не вступать в договорные отношения.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12" w:history="1">
        <w:r>
          <w:rPr>
            <w:color w:val="0000EE"/>
            <w:lang w:val="en-BE" w:eastAsia="en-BE" w:bidi="ar-SA"/>
          </w:rPr>
          <w:t>432 ГК РФ</w:t>
        </w:r>
      </w:hyperlink>
      <w:r>
        <w:rPr>
          <w:lang w:val="en-BE" w:eastAsia="en-BE" w:bidi="ar-SA"/>
        </w:rPr>
        <w:t xml:space="preserve"> договор считается заключенным, если между сторонами, в требуемой в подлежащих случаях форме, дости</w:t>
      </w:r>
      <w:r>
        <w:rPr>
          <w:lang w:val="en-BE" w:eastAsia="en-BE" w:bidi="ar-SA"/>
        </w:rPr>
        <w:t>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</w:t>
      </w:r>
      <w:hyperlink r:id="rId13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</w:t>
      </w:r>
      <w:r>
        <w:rPr>
          <w:lang w:val="en-BE" w:eastAsia="en-BE" w:bidi="ar-SA"/>
        </w:rPr>
        <w:t xml:space="preserve"> а заемщик обязуется возвратить полученную денежную сумму и уплатить проценты на нее. Пунктом 2 ст.</w:t>
      </w:r>
      <w:hyperlink r:id="rId14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 предусмотрено, что к отношениям по кредитному договору при</w:t>
      </w:r>
      <w:r>
        <w:rPr>
          <w:lang w:val="en-BE" w:eastAsia="en-BE" w:bidi="ar-SA"/>
        </w:rPr>
        <w:t>меняются те же правила, что и о договоре займа, если иное не предусмотрено правилами параграфа 2 главы 42 ГК РФ и не вытекает из существа кредитного договора.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 ст.</w:t>
      </w:r>
      <w:hyperlink r:id="rId15" w:history="1">
        <w:r>
          <w:rPr>
            <w:color w:val="0000EE"/>
            <w:lang w:val="en-BE" w:eastAsia="en-BE" w:bidi="ar-SA"/>
          </w:rPr>
          <w:t>810</w:t>
        </w:r>
      </w:hyperlink>
      <w:r>
        <w:rPr>
          <w:lang w:val="en-BE" w:eastAsia="en-BE" w:bidi="ar-SA"/>
        </w:rPr>
        <w:t xml:space="preserve"> ГК РФ, если иное не предусмотрено договором займа,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</w:t>
      </w:r>
      <w:r>
        <w:rPr>
          <w:lang w:val="en-BE" w:eastAsia="en-BE" w:bidi="ar-SA"/>
        </w:rPr>
        <w:t>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16" w:history="1">
        <w:r>
          <w:rPr>
            <w:color w:val="0000EE"/>
            <w:lang w:val="en-BE" w:eastAsia="en-BE" w:bidi="ar-SA"/>
          </w:rPr>
          <w:t>811</w:t>
        </w:r>
      </w:hyperlink>
      <w:r>
        <w:rPr>
          <w:lang w:val="en-BE" w:eastAsia="en-BE" w:bidi="ar-SA"/>
        </w:rPr>
        <w:t xml:space="preserve"> ГК РФ).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</w:t>
      </w:r>
      <w:hyperlink r:id="rId17" w:history="1">
        <w:r>
          <w:rPr>
            <w:color w:val="0000EE"/>
            <w:lang w:val="en-BE" w:eastAsia="en-BE" w:bidi="ar-SA"/>
          </w:rPr>
          <w:t>809 ГК РФ</w:t>
        </w:r>
      </w:hyperlink>
      <w:r>
        <w:rPr>
          <w:lang w:val="en-BE" w:eastAsia="en-BE" w:bidi="ar-SA"/>
        </w:rPr>
        <w:t>, если иное не предусмотрено законом или договором займа, займодаве</w:t>
      </w:r>
      <w:r>
        <w:rPr>
          <w:lang w:val="en-BE" w:eastAsia="en-BE" w:bidi="ar-SA"/>
        </w:rPr>
        <w:t>ц имеет право на получение с заемщика процентов на сумму займа в размерах и в порядке, определенных договором.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18" w:history="1">
        <w:r>
          <w:rPr>
            <w:color w:val="0000EE"/>
            <w:lang w:val="en-BE" w:eastAsia="en-BE" w:bidi="ar-SA"/>
          </w:rPr>
          <w:t>820</w:t>
        </w:r>
      </w:hyperlink>
      <w:r>
        <w:rPr>
          <w:lang w:val="en-BE" w:eastAsia="en-BE" w:bidi="ar-SA"/>
        </w:rPr>
        <w:t xml:space="preserve"> ГК РФ кредитный договор должен </w:t>
      </w:r>
      <w:r>
        <w:rPr>
          <w:lang w:val="en-BE" w:eastAsia="en-BE" w:bidi="ar-SA"/>
        </w:rPr>
        <w:t>быть заключен в письменной форме.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положений ст.</w:t>
      </w:r>
      <w:hyperlink r:id="rId19" w:history="1">
        <w:r>
          <w:rPr>
            <w:color w:val="0000EE"/>
            <w:lang w:val="en-BE" w:eastAsia="en-BE" w:bidi="ar-SA"/>
          </w:rPr>
          <w:t>810</w:t>
        </w:r>
      </w:hyperlink>
      <w:r>
        <w:rPr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которые предусмотрен</w:t>
      </w:r>
      <w:r>
        <w:rPr>
          <w:lang w:val="en-BE" w:eastAsia="en-BE" w:bidi="ar-SA"/>
        </w:rPr>
        <w:t>ы договором.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в судебном заседании, 16 марта 2011 года между ПАО «Сбербанк России» и Скобенко Д.А. заключен эмиссионный контракт №0910-Р-387978818 на предоставление Скобенко Д.А. возобновляемой кредитной линии посредством выдачи ему кредитно</w:t>
      </w:r>
      <w:r>
        <w:rPr>
          <w:lang w:val="en-BE" w:eastAsia="en-BE" w:bidi="ar-SA"/>
        </w:rPr>
        <w:t>й карты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заявления на получение кредитной карты Сбербанка России и ознакомления</w:t>
      </w:r>
      <w:r>
        <w:rPr>
          <w:lang w:val="en-BE" w:eastAsia="en-BE" w:bidi="ar-SA"/>
        </w:rPr>
        <w:t xml:space="preserve"> его с Условиями выпуска и обслуживания кредитной карты Сбербанка, Тарифами Сбербанка.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заявления Скобенко Д.А. на получение кредитной карты и индивидуальных условий выпуска и обслуживания кредитной карты ПАО Сбербанк, сторонами были согласованы сл</w:t>
      </w:r>
      <w:r>
        <w:rPr>
          <w:lang w:val="en-BE" w:eastAsia="en-BE" w:bidi="ar-SA"/>
        </w:rPr>
        <w:t xml:space="preserve">едующие условия: сумма (лимит) кредита – </w:t>
      </w:r>
      <w:r>
        <w:rPr>
          <w:rStyle w:val="cat-Sumgrp-8rplc-20"/>
          <w:lang w:val="en-BE" w:eastAsia="en-BE" w:bidi="ar-SA"/>
        </w:rPr>
        <w:t>сумма</w:t>
      </w:r>
      <w:r>
        <w:rPr>
          <w:lang w:val="en-BE" w:eastAsia="en-BE" w:bidi="ar-SA"/>
        </w:rPr>
        <w:t>; процентная ставка по кредиту – 18,00% годовых; дата ежемесячного платежа – не позднее 20 дней с даты формирования отчета.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п.1 ст.329 ГК РФ, исполнение обязательств может обеспечив</w:t>
      </w:r>
      <w:r>
        <w:rPr>
          <w:lang w:val="en-BE" w:eastAsia="en-BE" w:bidi="ar-SA"/>
        </w:rPr>
        <w:t>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ст.330 ГК РФ, неустойкой (штрафом, пеней) приз</w:t>
      </w:r>
      <w:r>
        <w:rPr>
          <w:lang w:val="en-BE" w:eastAsia="en-BE" w:bidi="ar-SA"/>
        </w:rPr>
        <w:t xml:space="preserve">нается определенная законом или договором денежная сумма, которую должник обязан уплатить </w:t>
      </w:r>
      <w:r>
        <w:rPr>
          <w:lang w:val="en-BE" w:eastAsia="en-BE" w:bidi="ar-SA"/>
        </w:rPr>
        <w:lastRenderedPageBreak/>
        <w:t>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</w:t>
      </w:r>
      <w:r>
        <w:rPr>
          <w:lang w:val="en-BE" w:eastAsia="en-BE" w:bidi="ar-SA"/>
        </w:rPr>
        <w:t>бязан доказывать причинение ему убытков.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договора: сумма кредита, срок пользования кредитом, процентная ставка, размер ответственности за несвоевременный</w:t>
      </w:r>
      <w:r>
        <w:rPr>
          <w:lang w:val="en-BE" w:eastAsia="en-BE" w:bidi="ar-SA"/>
        </w:rPr>
        <w:t xml:space="preserve"> возврат суммы займа, отражён порядок определения размера и периодичности платежей заёмщика по договору и т.д. С данными условиями договора Скобенко Д.А. был согласен, что подтвердил своей подписью на договоре, приложениях и дополнениях к нему.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</w:t>
      </w:r>
      <w:r>
        <w:rPr>
          <w:lang w:val="en-BE" w:eastAsia="en-BE" w:bidi="ar-SA"/>
        </w:rPr>
        <w:t xml:space="preserve">ие заключенного договора ответчику Скобенко Д.А. выдана кредитная карта, с лимитом кредита </w:t>
      </w:r>
      <w:r>
        <w:rPr>
          <w:rStyle w:val="cat-Sumgrp-8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 </w:t>
      </w:r>
      <w:r>
        <w:rPr>
          <w:lang w:val="en-BE" w:eastAsia="en-BE" w:bidi="ar-SA"/>
        </w:rPr>
        <w:t xml:space="preserve">заключенным кредитным договором. 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20" w:history="1">
        <w:r>
          <w:rPr>
            <w:color w:val="0000EE"/>
            <w:lang w:val="en-BE" w:eastAsia="en-BE" w:bidi="ar-SA"/>
          </w:rPr>
          <w:t>309</w:t>
        </w:r>
      </w:hyperlink>
      <w:r>
        <w:rPr>
          <w:lang w:val="en-BE" w:eastAsia="en-BE" w:bidi="ar-SA"/>
        </w:rPr>
        <w:t xml:space="preserve"> ГК РФ обязательства должны исполняться надлежащим образом в соответствии с условиями обязательства и требован</w:t>
      </w:r>
      <w:r>
        <w:rPr>
          <w:lang w:val="en-BE" w:eastAsia="en-BE" w:bidi="ar-SA"/>
        </w:rPr>
        <w:t>ия закона.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Скобенко Д.А. свои обязательства по эмиссионному контракту надлежащим образом не исполняет, и по состоянию на 11.02.2022 года образовалась задолженность в размере 573 290, 33 руб., из которых: </w:t>
      </w:r>
      <w:r>
        <w:rPr>
          <w:rStyle w:val="cat-Sumgrp-10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1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</w:t>
      </w:r>
      <w:r>
        <w:rPr>
          <w:lang w:val="en-BE" w:eastAsia="en-BE" w:bidi="ar-SA"/>
        </w:rPr>
        <w:t xml:space="preserve"> просроченные проценты, </w:t>
      </w:r>
      <w:r>
        <w:rPr>
          <w:rStyle w:val="cat-Sumgrp-12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неустойка, </w:t>
      </w:r>
      <w:r>
        <w:rPr>
          <w:rStyle w:val="cat-Sumgrp-13rplc-29"/>
          <w:lang w:val="en-BE" w:eastAsia="en-BE" w:bidi="ar-SA"/>
        </w:rPr>
        <w:t>сумма</w:t>
      </w:r>
      <w:r>
        <w:rPr>
          <w:lang w:val="en-BE" w:eastAsia="en-BE" w:bidi="ar-SA"/>
        </w:rPr>
        <w:t>, комиссия банка.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направил Скобенко Д.А. требование о досрочном возврате суммы кредита, процентов за пользование кредитом и уплате неустойки, однако данное требование исполнено не было.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ответчик производил платежи несвоевременно и не в полном объеме с нарушением сроков, установленных кредитным договором, доказательств обратного суду не представлено, таким образом заявленные истцом требования о взыскан</w:t>
      </w:r>
      <w:r>
        <w:rPr>
          <w:lang w:val="en-BE" w:eastAsia="en-BE" w:bidi="ar-SA"/>
        </w:rPr>
        <w:t>ии задолженности являются правомерными и подлежат удовлетворению.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Правомерность требований истца подтверждена материалами дела.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факт предоставления денежных средств в соответствии с условиями кредитного договора, ответчиком не оспорен, объективны</w:t>
      </w:r>
      <w:r>
        <w:rPr>
          <w:lang w:val="en-BE" w:eastAsia="en-BE" w:bidi="ar-SA"/>
        </w:rPr>
        <w:t>х доказательств, опровергающих факт ненадлежащего исполнения ответчиком принятых на себя обязательств, суду не представлено, направленные истцом требования о необходимости погашения задолженности также не исполнены, суд признает исковые требования обоснова</w:t>
      </w:r>
      <w:r>
        <w:rPr>
          <w:lang w:val="en-BE" w:eastAsia="en-BE" w:bidi="ar-SA"/>
        </w:rPr>
        <w:t>нными и подлежащими удовлетворению в полном объёме в заявленном ПАО «Сбербанк России» размере.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считает, что поскольку факт нарушения условий договора со стороны заёмщика нашёл своё подтверждение, истец вправе требовать взыскания с ответчика и штрафных </w:t>
      </w:r>
      <w:r>
        <w:rPr>
          <w:lang w:val="en-BE" w:eastAsia="en-BE" w:bidi="ar-SA"/>
        </w:rPr>
        <w:t>санкций.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Ответчиком расчёт суммы основного долга и неустойки, предоставленный истцом, не оспорен, объективных доказательств, опровергающих факт ненадлежащего исполнения заёмщиком принятых на себя обязательств, а также доказательств, которые бы опровергали </w:t>
      </w:r>
      <w:r>
        <w:rPr>
          <w:lang w:val="en-BE" w:eastAsia="en-BE" w:bidi="ar-SA"/>
        </w:rPr>
        <w:t>размер задолженности, ответчиком не представлено. Судом доказательств, которые бы опровергали доводы стороны истца, не добыто; суд находит расчёт истца арифметически верным и считает, что он может быть положен в основу решения суда.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21" w:history="1">
        <w:r>
          <w:rPr>
            <w:color w:val="0000EE"/>
            <w:lang w:val="en-BE" w:eastAsia="en-BE" w:bidi="ar-SA"/>
          </w:rPr>
          <w:t>98 ГПК РФ</w:t>
        </w:r>
      </w:hyperlink>
      <w:r>
        <w:rPr>
          <w:lang w:val="en-BE" w:eastAsia="en-BE" w:bidi="ar-SA"/>
        </w:rPr>
        <w:t>,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</w:t>
      </w:r>
      <w:r>
        <w:rPr>
          <w:lang w:val="en-BE" w:eastAsia="en-BE" w:bidi="ar-SA"/>
        </w:rPr>
        <w:t xml:space="preserve">торой статьи 96 настоящего Кодекса. 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при подаче искового заявления была уплачена государственная пошлина в размере </w:t>
      </w:r>
      <w:r>
        <w:rPr>
          <w:rStyle w:val="cat-Sumgrp-15rplc-31"/>
          <w:lang w:val="en-BE" w:eastAsia="en-BE" w:bidi="ar-SA"/>
        </w:rPr>
        <w:t>сумма</w:t>
      </w:r>
      <w:r>
        <w:rPr>
          <w:lang w:val="en-BE" w:eastAsia="en-BE" w:bidi="ar-SA"/>
        </w:rPr>
        <w:t>, что подтверждается платежным поручением №424263 от 17.01.2021, которая подлежат взысканию с Скобенко Д.А. в поль</w:t>
      </w:r>
      <w:r>
        <w:rPr>
          <w:lang w:val="en-BE" w:eastAsia="en-BE" w:bidi="ar-SA"/>
        </w:rPr>
        <w:t>зу ПАО «Сбербанк России».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194-199 ГПК РФ, суд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</w:p>
    <w:p w:rsidR="00000000" w:rsidRDefault="00C85ED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Скобенко Дениса Алексеевича в пользу ПАО «Сбербанк России» в лице филиала Московского банка ПАО Сбербанк задолженность по эмиссионному контрак</w:t>
      </w:r>
      <w:r>
        <w:rPr>
          <w:lang w:val="en-BE" w:eastAsia="en-BE" w:bidi="ar-SA"/>
        </w:rPr>
        <w:t>ту № 0910-Р-387978818 от 16.03.2011 в размере 573 290, 33 руб., расходы по уплате государственной пошлины в размере 8 932, 90  рублей.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0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</w:t>
      </w:r>
      <w:r>
        <w:rPr>
          <w:lang w:val="en-BE" w:eastAsia="en-BE" w:bidi="ar-SA"/>
        </w:rPr>
        <w:t>ечение месяца со дня изготовления решения в окончательной форме.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01 апреля 2022 года.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</w:p>
    <w:p w:rsidR="00000000" w:rsidRDefault="00C85EDF">
      <w:pPr>
        <w:ind w:firstLine="567"/>
        <w:jc w:val="both"/>
        <w:rPr>
          <w:lang w:val="en-BE" w:eastAsia="en-BE" w:bidi="ar-SA"/>
        </w:rPr>
      </w:pPr>
    </w:p>
    <w:p w:rsidR="00000000" w:rsidRDefault="00C85EDF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                                                     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Д.Г. Шестаков</w:t>
      </w:r>
    </w:p>
    <w:p w:rsidR="00000000" w:rsidRDefault="00C85EDF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EDF"/>
    <w:rsid w:val="00C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34644370-DCE3-42B2-A175-C6ED68EA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Sumgrp-8rplc-9">
    <w:name w:val="cat-Sum grp-8 rplc-9"/>
    <w:basedOn w:val="a0"/>
  </w:style>
  <w:style w:type="character" w:customStyle="1" w:styleId="cat-Sumgrp-10rplc-11">
    <w:name w:val="cat-Sum grp-10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14rplc-16">
    <w:name w:val="cat-Sum grp-14 rplc-16"/>
    <w:basedOn w:val="a0"/>
  </w:style>
  <w:style w:type="character" w:customStyle="1" w:styleId="cat-Sumgrp-8rplc-20">
    <w:name w:val="cat-Sum grp-8 rplc-20"/>
    <w:basedOn w:val="a0"/>
  </w:style>
  <w:style w:type="character" w:customStyle="1" w:styleId="cat-Sumgrp-8rplc-23">
    <w:name w:val="cat-Sum grp-8 rplc-23"/>
    <w:basedOn w:val="a0"/>
  </w:style>
  <w:style w:type="character" w:customStyle="1" w:styleId="cat-Sumgrp-10rplc-26">
    <w:name w:val="cat-Sum grp-10 rplc-26"/>
    <w:basedOn w:val="a0"/>
  </w:style>
  <w:style w:type="character" w:customStyle="1" w:styleId="cat-Sumgrp-11rplc-27">
    <w:name w:val="cat-Sum grp-11 rplc-27"/>
    <w:basedOn w:val="a0"/>
  </w:style>
  <w:style w:type="character" w:customStyle="1" w:styleId="cat-Sumgrp-12rplc-28">
    <w:name w:val="cat-Sum grp-12 rplc-28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15rplc-31">
    <w:name w:val="cat-Sum grp-15 rplc-31"/>
    <w:basedOn w:val="a0"/>
  </w:style>
  <w:style w:type="character" w:customStyle="1" w:styleId="cat-Addressgrp-0rplc-36">
    <w:name w:val="cat-Address grp-0 rplc-3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/podrazdel-1/glava-1/statia-1/" TargetMode="External"/><Relationship Id="rId13" Type="http://schemas.openxmlformats.org/officeDocument/2006/relationships/hyperlink" Target="http://sudact.ru/law/gk-rf-chast2/razdel-iv/glava-42/ss-2_4/statia-819/" TargetMode="External"/><Relationship Id="rId18" Type="http://schemas.openxmlformats.org/officeDocument/2006/relationships/hyperlink" Target="http://sudact.ru/law/gk-rf-chast2/razdel-iv/glava-42/ss-2_4/statia-82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dact.ru/law/gpk-rf/razdel-i/glava-7/statia-98/" TargetMode="Externa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hyperlink" Target="http://sudact.ru/law/gk-rf-chast1/razdel-iii/podrazdel-2_1/glava-28/statia-432/" TargetMode="External"/><Relationship Id="rId17" Type="http://schemas.openxmlformats.org/officeDocument/2006/relationships/hyperlink" Target="http://sudact.ru/law/gk-rf-chast2/razdel-iv/glava-42/ss-1_4/statia-809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2/razdel-iv/glava-42/ss-1_4/statia-811/" TargetMode="External"/><Relationship Id="rId20" Type="http://schemas.openxmlformats.org/officeDocument/2006/relationships/hyperlink" Target="http://sudact.ru/law/gk-rf-chast1/razdel-iii/podrazdel-1_1/glava-22/statia-30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11" Type="http://schemas.openxmlformats.org/officeDocument/2006/relationships/hyperlink" Target="http://sudact.ru/law/gk-rf-chast1/razdel-iii/podrazdel-2_1/glava-27/statia-421/" TargetMode="External"/><Relationship Id="rId5" Type="http://schemas.openxmlformats.org/officeDocument/2006/relationships/hyperlink" Target="http://www.sud-praktika.ru/precedent/168779.html" TargetMode="External"/><Relationship Id="rId15" Type="http://schemas.openxmlformats.org/officeDocument/2006/relationships/hyperlink" Target="http://sudact.ru/law/gk-rf-chast2/razdel-iv/glava-42/ss-1_4/statia-81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dact.ru/law/gk-rf-chast1/razdel-i/podrazdel-4/glava-9/ss-1_2/statia-154/" TargetMode="External"/><Relationship Id="rId19" Type="http://schemas.openxmlformats.org/officeDocument/2006/relationships/hyperlink" Target="http://sudact.ru/law/gk-rf-chast2/razdel-iv/glava-42/ss-1_4/statia-8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1/razdel-iii/podrazdel-2_1/glava-27/statia-420/" TargetMode="External"/><Relationship Id="rId14" Type="http://schemas.openxmlformats.org/officeDocument/2006/relationships/hyperlink" Target="http://sudact.ru/law/gk-rf-chast2/razdel-iv/glava-42/ss-2_4/statia-819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2404</Words>
  <Characters>13708</Characters>
  <Application>Microsoft Office Word</Application>
  <DocSecurity>0</DocSecurity>
  <Lines>114</Lines>
  <Paragraphs>32</Paragraphs>
  <ScaleCrop>false</ScaleCrop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