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6E4DBF">
      <w:pPr>
        <w:ind w:firstLine="567"/>
        <w:jc w:val="right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УИД 77RS0004-02-2022-001133-41</w:t>
      </w:r>
    </w:p>
    <w:p w:rsidR="00000000" w:rsidRDefault="006E4DBF">
      <w:pPr>
        <w:ind w:firstLine="567"/>
        <w:jc w:val="center"/>
        <w:rPr>
          <w:lang w:val="en-BE" w:eastAsia="en-BE" w:bidi="ar-SA"/>
        </w:rPr>
      </w:pPr>
    </w:p>
    <w:p w:rsidR="00000000" w:rsidRDefault="006E4DB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6E4DB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rStyle w:val="cat-Addressgrp-0rplc-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        28 марта  2022 года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Гагаринский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>, в составе председательствующего судьи Шестакова Д.Г., при секретаре Маршалиной А.М., рассмотрев в от</w:t>
      </w:r>
      <w:r>
        <w:rPr>
          <w:lang w:val="en-BE" w:eastAsia="en-BE" w:bidi="ar-SA"/>
        </w:rPr>
        <w:t xml:space="preserve">крытом судебном заседании гражданское дело № 2-2748/2022 по иску Осиповой Людмилы Васильевны к ПАО «Сбербанк России» о признании кредитного договора недействительным (ничтожным), освобождении от исполнения обязательств </w:t>
      </w:r>
    </w:p>
    <w:p w:rsidR="00000000" w:rsidRDefault="006E4DB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Осипова Л.В. обрат</w:t>
      </w:r>
      <w:r>
        <w:rPr>
          <w:lang w:val="en-BE" w:eastAsia="en-BE" w:bidi="ar-SA"/>
        </w:rPr>
        <w:t xml:space="preserve">ился в суд с иском к ответчику ПАО Сбербанк о признании заключённого сторонами кредитного договора на  </w:t>
      </w:r>
      <w:r>
        <w:rPr>
          <w:rStyle w:val="cat-Sumgrp-8rplc-6"/>
          <w:lang w:val="en-BE" w:eastAsia="en-BE" w:bidi="ar-SA"/>
        </w:rPr>
        <w:t>сумма</w:t>
      </w:r>
      <w:r>
        <w:rPr>
          <w:lang w:val="en-BE" w:eastAsia="en-BE" w:bidi="ar-SA"/>
        </w:rPr>
        <w:t>, недействительным (ничтожным), освобождении от исполнения обязательств, указав в обоснование заявленных требований, что 09.03.2020 неизвестное лицо</w:t>
      </w:r>
      <w:r>
        <w:rPr>
          <w:lang w:val="en-BE" w:eastAsia="en-BE" w:bidi="ar-SA"/>
        </w:rPr>
        <w:t xml:space="preserve"> от его имени заключило с ответчиком кредитный договор на сумму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однако истец данный договор не заключал, более того признан потерпевшим в рамках уголовного дела.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судебное заседание не явилась, о дате, времени и месте судебного разбирательст</w:t>
      </w:r>
      <w:r>
        <w:rPr>
          <w:lang w:val="en-BE" w:eastAsia="en-BE" w:bidi="ar-SA"/>
        </w:rPr>
        <w:t>ва извещен надлежащим образом, в материалах дела имеется ходатайство истца о рассмотрении дела в ее отсутствие.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ответчика в судебное заседание не явился, о дате, времени и месте судебного разбирательства извещен надлежащим образом, направил в</w:t>
      </w:r>
      <w:r>
        <w:rPr>
          <w:lang w:val="en-BE" w:eastAsia="en-BE" w:bidi="ar-SA"/>
        </w:rPr>
        <w:t xml:space="preserve"> суд возражения на исковое заявление, в которых просил в удовлетворении заявленных требований отказать по доводам, указанным в возражениях.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ст.167 ГПК РФ, суд полагает возможным рассмотреть дело в отсутствие сторон.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Суд, проанализировав </w:t>
      </w:r>
      <w:r>
        <w:rPr>
          <w:lang w:val="en-BE" w:eastAsia="en-BE" w:bidi="ar-SA"/>
        </w:rPr>
        <w:t>и оценив собранные по делу доказательства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доказательств, учитывая относимость, допустимость, достоверность каждого доказатель</w:t>
      </w:r>
      <w:r>
        <w:rPr>
          <w:lang w:val="en-BE" w:eastAsia="en-BE" w:bidi="ar-SA"/>
        </w:rPr>
        <w:t>ства в отдельности, а также достаточность и взаимную связь доказательств в их совокупности, приходит к следующему.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7" w:history="1">
        <w:r>
          <w:rPr>
            <w:color w:val="0000EE"/>
            <w:lang w:val="en-BE" w:eastAsia="en-BE" w:bidi="ar-SA"/>
          </w:rPr>
          <w:t>56 ГПК РФ</w:t>
        </w:r>
      </w:hyperlink>
      <w:r>
        <w:rPr>
          <w:lang w:val="en-BE" w:eastAsia="en-BE" w:bidi="ar-SA"/>
        </w:rPr>
        <w:t xml:space="preserve">, содержание которой следует рассматривать в </w:t>
      </w:r>
      <w:r>
        <w:rPr>
          <w:lang w:val="en-BE" w:eastAsia="en-BE" w:bidi="ar-SA"/>
        </w:rPr>
        <w:t>контексте с положениями п.3 ст.</w:t>
      </w:r>
      <w:hyperlink r:id="rId8" w:history="1">
        <w:r>
          <w:rPr>
            <w:color w:val="0000EE"/>
            <w:lang w:val="en-BE" w:eastAsia="en-BE" w:bidi="ar-SA"/>
          </w:rPr>
          <w:t>123</w:t>
        </w:r>
      </w:hyperlink>
      <w:r>
        <w:rPr>
          <w:lang w:val="en-BE" w:eastAsia="en-BE" w:bidi="ar-SA"/>
        </w:rPr>
        <w:t xml:space="preserve"> Конституции РФ и ст.</w:t>
      </w:r>
      <w:hyperlink r:id="rId9" w:history="1">
        <w:r>
          <w:rPr>
            <w:color w:val="0000EE"/>
            <w:lang w:val="en-BE" w:eastAsia="en-BE" w:bidi="ar-SA"/>
          </w:rPr>
          <w:t>12 ГПК РФ</w:t>
        </w:r>
      </w:hyperlink>
      <w:r>
        <w:rPr>
          <w:lang w:val="en-BE" w:eastAsia="en-BE" w:bidi="ar-SA"/>
        </w:rPr>
        <w:t>, закрепляющих принцип состязательности гражданского судопро</w:t>
      </w:r>
      <w:r>
        <w:rPr>
          <w:lang w:val="en-BE" w:eastAsia="en-BE" w:bidi="ar-SA"/>
        </w:rPr>
        <w:t>изводства и принцип равноправия сторон,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ч.3 ст.67 ГПК РФ, суд оценивает дока</w:t>
      </w:r>
      <w:r>
        <w:rPr>
          <w:lang w:val="en-BE" w:eastAsia="en-BE" w:bidi="ar-SA"/>
        </w:rPr>
        <w:t>зательства по своему внутреннему убеждению, основанному на всестороннем, полном, объективном и непосредственном исследовании имеющихся в деле доказательств.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ч.1 ст.68 ГПК РФ объяснения сторон и третьих лиц об известных им обстоятельствах, </w:t>
      </w:r>
      <w:r>
        <w:rPr>
          <w:lang w:val="en-BE" w:eastAsia="en-BE" w:bidi="ar-SA"/>
        </w:rPr>
        <w:t xml:space="preserve">имеющих значение для правильного рассмотрения дела, подлежат проверке и оценке наряду с другими доказательствами. В случае, если сторона, обязанная доказывать свои требования или возражения, удерживает находящиеся у нее доказательства и не представляет их </w:t>
      </w:r>
      <w:r>
        <w:rPr>
          <w:lang w:val="en-BE" w:eastAsia="en-BE" w:bidi="ar-SA"/>
        </w:rPr>
        <w:t>суду, суд вправе обосновать свои выводы объяснениями другой стороны.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 соответствии п. 1 ст. 12 ГПК РФ правосудие по гражданским делам осуществляется на основе состязательности и равноправия сторон.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п.2 ст.</w:t>
      </w:r>
      <w:hyperlink r:id="rId10" w:tgtFrame="_blank" w:history="1">
        <w:r>
          <w:rPr>
            <w:color w:val="0000EE"/>
            <w:lang w:val="en-BE" w:eastAsia="en-BE" w:bidi="ar-SA"/>
          </w:rPr>
          <w:t>1 ГК РФ</w:t>
        </w:r>
      </w:hyperlink>
      <w:r>
        <w:rPr>
          <w:lang w:val="en-BE" w:eastAsia="en-BE" w:bidi="ar-SA"/>
        </w:rPr>
        <w:t xml:space="preserve"> граждане (физические лица)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</w:t>
      </w:r>
      <w:r>
        <w:rPr>
          <w:lang w:val="en-BE" w:eastAsia="en-BE" w:bidi="ar-SA"/>
        </w:rPr>
        <w:t>снове договора и в определении любых не противоречащих законодательству условий договора.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ч.1 ст.</w:t>
      </w:r>
      <w:hyperlink r:id="rId11" w:tgtFrame="_blank" w:history="1">
        <w:r>
          <w:rPr>
            <w:color w:val="0000EE"/>
            <w:lang w:val="en-BE" w:eastAsia="en-BE" w:bidi="ar-SA"/>
          </w:rPr>
          <w:t>421 ГК РФ</w:t>
        </w:r>
      </w:hyperlink>
      <w:r>
        <w:rPr>
          <w:lang w:val="en-BE" w:eastAsia="en-BE" w:bidi="ar-SA"/>
        </w:rPr>
        <w:t xml:space="preserve"> граждане и юридические лица св</w:t>
      </w:r>
      <w:r>
        <w:rPr>
          <w:lang w:val="en-BE" w:eastAsia="en-BE" w:bidi="ar-SA"/>
        </w:rPr>
        <w:t>ободны в заключении договора.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</w:t>
      </w:r>
      <w:hyperlink r:id="rId12" w:tgtFrame="_blank" w:history="1">
        <w:r>
          <w:rPr>
            <w:color w:val="0000EE"/>
            <w:lang w:val="en-BE" w:eastAsia="en-BE" w:bidi="ar-SA"/>
          </w:rPr>
          <w:t>807 ГК РФ</w:t>
        </w:r>
      </w:hyperlink>
      <w:r>
        <w:rPr>
          <w:lang w:val="en-BE" w:eastAsia="en-BE" w:bidi="ar-SA"/>
        </w:rPr>
        <w:t xml:space="preserve"> по договору займа одна сторона (заимодавец) передает в собственность другой стороне (заемщику</w:t>
      </w:r>
      <w:r>
        <w:rPr>
          <w:lang w:val="en-BE" w:eastAsia="en-BE" w:bidi="ar-SA"/>
        </w:rPr>
        <w:t>) деньги или другие вещи, определенные родовыми признаками, а заемщик обязуется возвратить заимодавцу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</w:t>
      </w:r>
      <w:r>
        <w:rPr>
          <w:lang w:val="en-BE" w:eastAsia="en-BE" w:bidi="ar-SA"/>
        </w:rPr>
        <w:t xml:space="preserve"> передачи денег или других вещей.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данной нормы следует, что договор займа, будучи реальной, а не консенсуальной сделкой, является заключенным не с момента подписание договора, а с момента передачи суммы займа заёмщику, что является юридически значимым о</w:t>
      </w:r>
      <w:r>
        <w:rPr>
          <w:lang w:val="en-BE" w:eastAsia="en-BE" w:bidi="ar-SA"/>
        </w:rPr>
        <w:t>бстоятельством. Таким образом, передача денежных средств может быть подтверждена только распиской или иным документом, подтверждающим передачу денежных средств.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кредитному договору банк или иная кредитная организация (кредитор) обязуются предоставить де</w:t>
      </w:r>
      <w:r>
        <w:rPr>
          <w:lang w:val="en-BE" w:eastAsia="en-BE" w:bidi="ar-SA"/>
        </w:rPr>
        <w:t>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также предусмотренные кредитным договором иные платежи, в том числе связ</w:t>
      </w:r>
      <w:r>
        <w:rPr>
          <w:lang w:val="en-BE" w:eastAsia="en-BE" w:bidi="ar-SA"/>
        </w:rPr>
        <w:t>анные с предоставлением кредита (п.1 ст.819 ГК РФ).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п.2 ст.819 ГК РФ, к отношениям по кредитному договору применяются правила, предусмотренные </w:t>
      </w:r>
      <w:hyperlink r:id="rId13" w:anchor="dst101437" w:history="1">
        <w:r>
          <w:rPr>
            <w:color w:val="0000EE"/>
            <w:lang w:val="en-BE" w:eastAsia="en-BE" w:bidi="ar-SA"/>
          </w:rPr>
          <w:t>параграфом 1</w:t>
        </w:r>
      </w:hyperlink>
      <w:r>
        <w:rPr>
          <w:lang w:val="en-BE" w:eastAsia="en-BE" w:bidi="ar-SA"/>
        </w:rPr>
        <w:t xml:space="preserve"> «Заем» настоящей главы, если иное не предусмотрено правилами настоящего параграфа и не вытекает из существа кредитного договора.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документа, подписанн</w:t>
      </w:r>
      <w:r>
        <w:rPr>
          <w:lang w:val="en-BE" w:eastAsia="en-BE" w:bidi="ar-SA"/>
        </w:rPr>
        <w:t>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 связи, позволяющими достоверно установить, что документ исходит от стороны по договору (п</w:t>
      </w:r>
      <w:r>
        <w:rPr>
          <w:lang w:val="en-BE" w:eastAsia="en-BE" w:bidi="ar-SA"/>
        </w:rPr>
        <w:t>.2 ст.</w:t>
      </w:r>
      <w:hyperlink r:id="rId14" w:tgtFrame="_blank" w:history="1">
        <w:r>
          <w:rPr>
            <w:color w:val="0000EE"/>
            <w:lang w:val="en-BE" w:eastAsia="en-BE" w:bidi="ar-SA"/>
          </w:rPr>
          <w:t>434</w:t>
        </w:r>
      </w:hyperlink>
      <w:r>
        <w:rPr>
          <w:lang w:val="en-BE" w:eastAsia="en-BE" w:bidi="ar-SA"/>
        </w:rPr>
        <w:t xml:space="preserve"> ГК РФ).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п.2 ст.</w:t>
      </w:r>
      <w:hyperlink r:id="rId15" w:tgtFrame="_blank" w:history="1">
        <w:r>
          <w:rPr>
            <w:color w:val="0000EE"/>
            <w:lang w:val="en-BE" w:eastAsia="en-BE" w:bidi="ar-SA"/>
          </w:rPr>
          <w:t>432</w:t>
        </w:r>
      </w:hyperlink>
      <w:r>
        <w:rPr>
          <w:lang w:val="en-BE" w:eastAsia="en-BE" w:bidi="ar-SA"/>
        </w:rPr>
        <w:t xml:space="preserve"> ГК РФ договор заключается посредством направления оферты (предложения заключить договор) одной из сторон и ее акцепта (принятия предложения) другой стороной.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Офертой признается адресованное одному или нескольким конкретным лицам предложение, кото</w:t>
      </w:r>
      <w:r>
        <w:rPr>
          <w:lang w:val="en-BE" w:eastAsia="en-BE" w:bidi="ar-SA"/>
        </w:rPr>
        <w:t xml:space="preserve">рое достаточно определенно и выражает намерение лица, сделавшего предложение, считать себя заключившим договор с адресатом, которым будет принято предложение. Оферта должна содержать существенные условия договора (п. 1 ст. </w:t>
      </w:r>
      <w:hyperlink r:id="rId16" w:tgtFrame="_blank" w:history="1">
        <w:r>
          <w:rPr>
            <w:color w:val="0000EE"/>
            <w:lang w:val="en-BE" w:eastAsia="en-BE" w:bidi="ar-SA"/>
          </w:rPr>
          <w:t>435</w:t>
        </w:r>
      </w:hyperlink>
      <w:r>
        <w:rPr>
          <w:lang w:val="en-BE" w:eastAsia="en-BE" w:bidi="ar-SA"/>
        </w:rPr>
        <w:t xml:space="preserve"> ГК РФ).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Акцептом признается ответ лица, которому адресована оферта, о ее принятии. Акцепт должен быть полным и безоговорочным.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Совершение лицом, получившим оферту, в срок, уст</w:t>
      </w:r>
      <w:r>
        <w:rPr>
          <w:lang w:val="en-BE" w:eastAsia="en-BE" w:bidi="ar-SA"/>
        </w:rPr>
        <w:t>ановленный для ее акцепта, действий по выполнению указанных в ней условий договора (отгрузка товаров, предоставление услуг, выполнение работ, уплата соответствующей суммы и т.п.) считается акцептом, если иное не предусмотрено законом, иными правовыми актам</w:t>
      </w:r>
      <w:r>
        <w:rPr>
          <w:lang w:val="en-BE" w:eastAsia="en-BE" w:bidi="ar-SA"/>
        </w:rPr>
        <w:t>и или не указано в оферте (п.1 п.3 ст.</w:t>
      </w:r>
      <w:hyperlink r:id="rId17" w:tgtFrame="_blank" w:history="1">
        <w:r>
          <w:rPr>
            <w:color w:val="0000EE"/>
            <w:lang w:val="en-BE" w:eastAsia="en-BE" w:bidi="ar-SA"/>
          </w:rPr>
          <w:t>438</w:t>
        </w:r>
      </w:hyperlink>
      <w:r>
        <w:rPr>
          <w:lang w:val="en-BE" w:eastAsia="en-BE" w:bidi="ar-SA"/>
        </w:rPr>
        <w:t xml:space="preserve"> ГК РФ).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п.1 ст. </w:t>
      </w:r>
      <w:hyperlink r:id="rId18" w:tgtFrame="_blank" w:history="1">
        <w:r>
          <w:rPr>
            <w:color w:val="0000EE"/>
            <w:lang w:val="en-BE" w:eastAsia="en-BE" w:bidi="ar-SA"/>
          </w:rPr>
          <w:t>166 ГК РФ</w:t>
        </w:r>
      </w:hyperlink>
      <w:r>
        <w:rPr>
          <w:lang w:val="en-BE" w:eastAsia="en-BE" w:bidi="ar-SA"/>
        </w:rPr>
        <w:t xml:space="preserve"> сделка недействительна по основаниям, установленным настоящим кодексом, в силу признания ее таковой судом (оспоримая сделка) либо независимо от такого признания (ничтожная сделка).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ст.</w:t>
      </w:r>
      <w:hyperlink r:id="rId19" w:tgtFrame="_blank" w:history="1">
        <w:r>
          <w:rPr>
            <w:color w:val="0000EE"/>
            <w:lang w:val="en-BE" w:eastAsia="en-BE" w:bidi="ar-SA"/>
          </w:rPr>
          <w:t>167 ГК РФ</w:t>
        </w:r>
      </w:hyperlink>
      <w:r>
        <w:rPr>
          <w:lang w:val="en-BE" w:eastAsia="en-BE" w:bidi="ar-SA"/>
        </w:rPr>
        <w:t xml:space="preserve"> недействительная сделка не влечет юридических последствий, за исключением тех, которые связаны с ее недействительностью, и недействительна с момен</w:t>
      </w:r>
      <w:r>
        <w:rPr>
          <w:lang w:val="en-BE" w:eastAsia="en-BE" w:bidi="ar-SA"/>
        </w:rPr>
        <w:t>та ее совершения. При недействительности сделки каждая из сторон обязана возвратить другой все полученное по сделке, а в случае невозможности возвратить полученное в натуре (в том числе тогда, когда полученное выражается в пользовании имуществом, выполненн</w:t>
      </w:r>
      <w:r>
        <w:rPr>
          <w:lang w:val="en-BE" w:eastAsia="en-BE" w:bidi="ar-SA"/>
        </w:rPr>
        <w:t>ой работе или предоставленной услуге) возместить его стоимость в деньгах – если иные последствия недействительности сделки не предусмотрены законом.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Как усматривается из материалов дела, 26.04.2016 между сторонами заключен Договор банковского обслуживания </w:t>
      </w:r>
      <w:r>
        <w:rPr>
          <w:lang w:val="en-BE" w:eastAsia="en-BE" w:bidi="ar-SA"/>
        </w:rPr>
        <w:t>№ 11ХХХ07 (далее-ДБО). ДБО, регулирующий порядок электронного взаимодействия Клиента с Банком, на бумажном носителе в архиве Банка отсутствует. Факт заключения ДБО, ознакомления и согласия с условиями банковского обслуживания Клиентом не оспаривается.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</w:t>
      </w:r>
      <w:r>
        <w:rPr>
          <w:lang w:val="en-BE" w:eastAsia="en-BE" w:bidi="ar-SA"/>
        </w:rPr>
        <w:t>сновании заявления на получение дебетовой карты, ДБО 01.08.2017 истцом была получена карта MIR6607 (счёт ****2002). Получив карту, и, подписав договор, истец был ознакомлен и согласился с Условиями, Памяткой Держателя и Тарифами, которые обязуется выполнят</w:t>
      </w:r>
      <w:r>
        <w:rPr>
          <w:lang w:val="en-BE" w:eastAsia="en-BE" w:bidi="ar-SA"/>
        </w:rPr>
        <w:t>ь, о чём свидетельствует его подпись.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09.03.2020 13:15:51 (мск)</w:t>
      </w:r>
      <w:r>
        <w:rPr>
          <w:vertAlign w:val="superscript"/>
          <w:lang w:val="en-BE" w:eastAsia="en-BE" w:bidi="ar-SA"/>
        </w:rPr>
        <w:t xml:space="preserve"> </w:t>
      </w:r>
      <w:r>
        <w:rPr>
          <w:lang w:val="en-BE" w:eastAsia="en-BE" w:bidi="ar-SA"/>
        </w:rPr>
        <w:t>был осуществлен вход в основную версию системы Сбербанк Онлайн. Для входа в Сбербанк Онлайн были использованы персональные средства доступа, полученные по карте истца MIR6607.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Регистрация подт</w:t>
      </w:r>
      <w:r>
        <w:rPr>
          <w:lang w:val="en-BE" w:eastAsia="en-BE" w:bidi="ar-SA"/>
        </w:rPr>
        <w:t xml:space="preserve">верждена вводом одноразового СМС-пароля, направленного банком на номер телефона </w:t>
      </w:r>
      <w:r>
        <w:rPr>
          <w:rStyle w:val="cat-PhoneNumbergrp-9rplc-8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***-51-17, зарегистрированный в базе данных банка на имя клиента. В смс-сообщении содержалось предупреждение: «Регистрация в Сбербанк Онлайн. Код: ХХХ. Никому его не со</w:t>
      </w:r>
      <w:r>
        <w:rPr>
          <w:lang w:val="en-BE" w:eastAsia="en-BE" w:bidi="ar-SA"/>
        </w:rPr>
        <w:t>общайте. Если вы не регистрировались, позвоните по номеру 900».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Пароль был введён верно. Банк получил и корректно исполнил распоряжение на регистрацию системы Сбербанк Онлайн.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Вход в систему Сбербанк Онлайн произведён с использованием персональных средств </w:t>
      </w:r>
      <w:r>
        <w:rPr>
          <w:lang w:val="en-BE" w:eastAsia="en-BE" w:bidi="ar-SA"/>
        </w:rPr>
        <w:t>доступа, полученных по карте Клиента MIR6607.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Указанные средства доступа являются аналогом собственноручной подписи.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Далее 09.03.2020 в 13:37:37 (мск) в личном кабинете основной версии системы Сбербанк Онлайн была подана заявка на получение потребительског</w:t>
      </w:r>
      <w:r>
        <w:rPr>
          <w:lang w:val="en-BE" w:eastAsia="en-BE" w:bidi="ar-SA"/>
        </w:rPr>
        <w:t>о кредита и зачислен кредит. По результатам рассмотрения Банком было принято положительное решение.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Операция оформления заявки на получение и операция получения потребительского кредита были подтверждены одноразовыми смс-паролями, направленными на телефонн</w:t>
      </w:r>
      <w:r>
        <w:rPr>
          <w:lang w:val="en-BE" w:eastAsia="en-BE" w:bidi="ar-SA"/>
        </w:rPr>
        <w:t xml:space="preserve">ый номер </w:t>
      </w:r>
      <w:r>
        <w:rPr>
          <w:rStyle w:val="cat-PhoneNumbergrp-9rplc-9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 ***-51-17.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п.1 ст.</w:t>
      </w:r>
      <w:hyperlink r:id="rId20" w:tgtFrame="_blank" w:history="1">
        <w:r>
          <w:rPr>
            <w:color w:val="0000EE"/>
            <w:lang w:val="en-BE" w:eastAsia="en-BE" w:bidi="ar-SA"/>
          </w:rPr>
          <w:t>160 ГК РФ</w:t>
        </w:r>
      </w:hyperlink>
      <w:r>
        <w:rPr>
          <w:lang w:val="en-BE" w:eastAsia="en-BE" w:bidi="ar-SA"/>
        </w:rPr>
        <w:t>, сделка в письменной форме должна быть совершена путем составления документа, выраж</w:t>
      </w:r>
      <w:r>
        <w:rPr>
          <w:lang w:val="en-BE" w:eastAsia="en-BE" w:bidi="ar-SA"/>
        </w:rPr>
        <w:t>ающего ее содержание и подписанного лицом или лицами, совершающими сделку, или должным образом уполномоченными ими лицами. Согласно пп.2 п.1 ст.</w:t>
      </w:r>
      <w:hyperlink r:id="rId21" w:tgtFrame="_blank" w:history="1">
        <w:r>
          <w:rPr>
            <w:color w:val="0000EE"/>
            <w:lang w:val="en-BE" w:eastAsia="en-BE" w:bidi="ar-SA"/>
          </w:rPr>
          <w:t>16</w:t>
        </w:r>
        <w:r>
          <w:rPr>
            <w:color w:val="0000EE"/>
            <w:lang w:val="en-BE" w:eastAsia="en-BE" w:bidi="ar-SA"/>
          </w:rPr>
          <w:t>1 ГК РФ</w:t>
        </w:r>
      </w:hyperlink>
      <w:r>
        <w:rPr>
          <w:lang w:val="en-BE" w:eastAsia="en-BE" w:bidi="ar-SA"/>
        </w:rPr>
        <w:t>, должны совершаться в простой письменной форме, за исключением сделок, требующих нотариального удостоверения, сделки граждан между собой на сумму, превышающую сумма прописью, а в случаях, предусмотренных законом, – независимо от суммы сделки.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</w:t>
      </w:r>
      <w:r>
        <w:rPr>
          <w:lang w:val="en-BE" w:eastAsia="en-BE" w:bidi="ar-SA"/>
        </w:rPr>
        <w:t>асно п.2 ст.</w:t>
      </w:r>
      <w:hyperlink r:id="rId22" w:tgtFrame="_blank" w:history="1">
        <w:r>
          <w:rPr>
            <w:color w:val="0000EE"/>
            <w:lang w:val="en-BE" w:eastAsia="en-BE" w:bidi="ar-SA"/>
          </w:rPr>
          <w:t>434 ГК РФ</w:t>
        </w:r>
      </w:hyperlink>
      <w:r>
        <w:rPr>
          <w:lang w:val="en-BE" w:eastAsia="en-BE" w:bidi="ar-SA"/>
        </w:rPr>
        <w:t xml:space="preserve"> договор в письменной форме может быть заключен путем составления одного документа, подписанного сторонами, а также путем обме</w:t>
      </w:r>
      <w:r>
        <w:rPr>
          <w:lang w:val="en-BE" w:eastAsia="en-BE" w:bidi="ar-SA"/>
        </w:rPr>
        <w:t>на документами посредством почтовой, телеграфной, телетайпной, телефонной, электронной или иной связи, позволяющей достоверно установить, что документ исходит от стороны по договору. Письменная форма договора считается соблюденной, если письменное предложе</w:t>
      </w:r>
      <w:r>
        <w:rPr>
          <w:lang w:val="en-BE" w:eastAsia="en-BE" w:bidi="ar-SA"/>
        </w:rPr>
        <w:t xml:space="preserve">ние заключить договор принято в порядке, предусмотренном п.3 ст.438 настоящего Кодекса, то </w:t>
      </w:r>
      <w:r>
        <w:rPr>
          <w:lang w:val="en-BE" w:eastAsia="en-BE" w:bidi="ar-SA"/>
        </w:rPr>
        <w:lastRenderedPageBreak/>
        <w:t>есть, получен ответ на оферту (её акцепт) или совершены иные конклюдентные действия, позволяющие установить заключение договора на указанных условиях.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</w:t>
      </w:r>
      <w:r>
        <w:rPr>
          <w:lang w:val="en-BE" w:eastAsia="en-BE" w:bidi="ar-SA"/>
        </w:rPr>
        <w:t xml:space="preserve"> с ч.2 ст.6 Федерального закона от 06.04.2011 №63-ФЗ «Об электронной цифровой подписи», информация в электронной форме, подписанная простой электронной подписью или усиленной неквалифицированной электронной подписью, признается электронным документом, равн</w:t>
      </w:r>
      <w:r>
        <w:rPr>
          <w:lang w:val="en-BE" w:eastAsia="en-BE" w:bidi="ar-SA"/>
        </w:rPr>
        <w:t>означным документу на бумажном носителе, подписанному собственноручной подписью, в случаях, установленных федеральными законами, принимаемыми в соответствии с ними нормативными правовыми актами или соглашением между участниками электронного взаимодействия.</w:t>
      </w:r>
      <w:r>
        <w:rPr>
          <w:lang w:val="en-BE" w:eastAsia="en-BE" w:bidi="ar-SA"/>
        </w:rPr>
        <w:t xml:space="preserve"> Нормативные правовые акты и соглашения между участниками электронного взаимодействия, устанавливающие случаи признания электронных документов, подписанных простой электронной подписью, равнозначными документам на бумажных носителях, подписанным собственно</w:t>
      </w:r>
      <w:r>
        <w:rPr>
          <w:lang w:val="en-BE" w:eastAsia="en-BE" w:bidi="ar-SA"/>
        </w:rPr>
        <w:t>ручной подписью, должны также соответствовать требованиям ст.9 Федерального закона об электронной подписи.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входе в систему «Сбербанк Онлайн» и проведении спорных операций были использованы верные данные банковской карты и пароли, лицо, вошедшее в систе</w:t>
      </w:r>
      <w:r>
        <w:rPr>
          <w:lang w:val="en-BE" w:eastAsia="en-BE" w:bidi="ar-SA"/>
        </w:rPr>
        <w:t>му, было идентифицировано как Клиент Банка, распоряжения которого обязательны к исполнению.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материалов дела усматривается, что при оформлении заявки на получение кредита для входа в систему «Сбербанк Онлайн» были использованы реквизиты банковской карты </w:t>
      </w:r>
      <w:r>
        <w:rPr>
          <w:lang w:val="en-BE" w:eastAsia="en-BE" w:bidi="ar-SA"/>
        </w:rPr>
        <w:t>истца, при проведении операции были использованы правильный логин, постоянный и одноразовые пароли. Для подтверждения действий, направленных на получение кредита, на номер телефона истца направлено sms-сообщение с паролем для подтверждения заявки на кредит</w:t>
      </w:r>
      <w:r>
        <w:rPr>
          <w:lang w:val="en-BE" w:eastAsia="en-BE" w:bidi="ar-SA"/>
        </w:rPr>
        <w:t>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п.2.3 Положения о правилах осуществления перевода денежных средств, утвержденного Центральным Банком РФ 19.06.2012 №383-П, удостоверение права распоряжения денежными средствами при приеме к исполнению распоряжения в электронном виде осущ</w:t>
      </w:r>
      <w:r>
        <w:rPr>
          <w:lang w:val="en-BE" w:eastAsia="en-BE" w:bidi="ar-SA"/>
        </w:rPr>
        <w:t xml:space="preserve">ествляется банком посредством проверки электронной подписи, аналога собственноручной подписи и (или) кодов, паролей, иных средств, позволяющих подтвердить, что распоряжение в электронном виде подписано и (или) удостоверено в соответствии с </w:t>
      </w:r>
      <w:hyperlink r:id="rId23" w:anchor="dst100064" w:history="1">
        <w:r>
          <w:rPr>
            <w:color w:val="0000EE"/>
            <w:lang w:val="en-BE" w:eastAsia="en-BE" w:bidi="ar-SA"/>
          </w:rPr>
          <w:t>пунктом 1.24</w:t>
        </w:r>
      </w:hyperlink>
      <w:r>
        <w:rPr>
          <w:lang w:val="en-BE" w:eastAsia="en-BE" w:bidi="ar-SA"/>
        </w:rPr>
        <w:t xml:space="preserve"> настоящего Положения.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4.2 Положения об идентификации кредитными организациями клиентов, представителей клиента выгодоприобр</w:t>
      </w:r>
      <w:r>
        <w:rPr>
          <w:lang w:val="en-BE" w:eastAsia="en-BE" w:bidi="ar-SA"/>
        </w:rPr>
        <w:t>етателей и бенифициарных владельцев в целях противодействия легализации (отмыванию) доходов, полученных преступным путем, и финансированию терроризма, утвержденного Центрального Банком РФ 15.10.2015 №499-П, при совершении операций с использованием платежно</w:t>
      </w:r>
      <w:r>
        <w:rPr>
          <w:lang w:val="en-BE" w:eastAsia="en-BE" w:bidi="ar-SA"/>
        </w:rPr>
        <w:t>й (банковской) карты без участия уполномоченного сотрудника кредитной организации идентификация клиента проводится кредитной организацией на основе реквизитов платежной (банковской) карты, а также кодов и паролей. В указанном случае идентификация представи</w:t>
      </w:r>
      <w:r>
        <w:rPr>
          <w:lang w:val="en-BE" w:eastAsia="en-BE" w:bidi="ar-SA"/>
        </w:rPr>
        <w:t>теля клиента, выгодоприобретателя и бенефициарного владельца не проводится.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Следовательно, сообщения с телефона, пароли, направляемые банком на номер телефона, позволяют банку подтвердить, что операция и распоряжение составлено именно владельцем карты.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</w:t>
      </w:r>
      <w:r>
        <w:rPr>
          <w:lang w:val="en-BE" w:eastAsia="en-BE" w:bidi="ar-SA"/>
        </w:rPr>
        <w:t>содержаний sms-сообщений, направленных на номер телефона истца, усматривается, что до истца доводилась информация о характере проводимых операций, а также при заключении кредитного договора истец был ознакомлен с условиями кредитования в интерфейсе системы</w:t>
      </w:r>
      <w:r>
        <w:rPr>
          <w:lang w:val="en-BE" w:eastAsia="en-BE" w:bidi="ar-SA"/>
        </w:rPr>
        <w:t xml:space="preserve"> «Сбербанк Онлайн». При этом ПАО Сбербанк в полном объёме исполнил обязательства по предоставлению кредитных денежных средств, что подтверждается материалами дела.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Проанализировав соглашение, суд считает, что между сторонами состоялся кредитный договор, по</w:t>
      </w:r>
      <w:r>
        <w:rPr>
          <w:lang w:val="en-BE" w:eastAsia="en-BE" w:bidi="ar-SA"/>
        </w:rPr>
        <w:t xml:space="preserve">скольку в договоре отражены все существенные условия такого договора: сумма кредита, срок пользования кредитом, процентная ставка по кредиту.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Изложенное свидетельствует, о том, что истец самостоятельно, по своему усмотрению принял решение о заключении дог</w:t>
      </w:r>
      <w:r>
        <w:rPr>
          <w:lang w:val="en-BE" w:eastAsia="en-BE" w:bidi="ar-SA"/>
        </w:rPr>
        <w:t xml:space="preserve">овора на предложенных условиях, достаточных и достоверных доказательств иного суду не представлено.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договор заключался по волеизъявлению обеих сторон, в соответствии со ст.</w:t>
      </w:r>
      <w:hyperlink r:id="rId24" w:tgtFrame="_blank" w:history="1">
        <w:r>
          <w:rPr>
            <w:color w:val="0000EE"/>
            <w:lang w:val="en-BE" w:eastAsia="en-BE" w:bidi="ar-SA"/>
          </w:rPr>
          <w:t>421</w:t>
        </w:r>
      </w:hyperlink>
      <w:r>
        <w:rPr>
          <w:lang w:val="en-BE" w:eastAsia="en-BE" w:bidi="ar-SA"/>
        </w:rPr>
        <w:t xml:space="preserve"> ГК РФ, его условия устанавливались сторонами по согласованию, нарушений прав истца при этом не установлено.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заключении договора истцу была предоставлена полная информация о кредитном продукте, условиях предоставл</w:t>
      </w:r>
      <w:r>
        <w:rPr>
          <w:lang w:val="en-BE" w:eastAsia="en-BE" w:bidi="ar-SA"/>
        </w:rPr>
        <w:t xml:space="preserve">ения кредита и его возврата.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не был лишён возможности отказаться от заключения кредитного договора в случае несогласия с его условиями; истцом не представлено доказательств того, что он имел намерение заключить договор на иных условиях, и банком ему</w:t>
      </w:r>
      <w:r>
        <w:rPr>
          <w:lang w:val="en-BE" w:eastAsia="en-BE" w:bidi="ar-SA"/>
        </w:rPr>
        <w:t xml:space="preserve"> в этом было отказано.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Ответственность банка за совершение третьими лицами операций по банковской карте клиента с использованием персональных средств доступа не предусмотрена ни договором, ни нормами действующего законодательства.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ДБО определяет условия и </w:t>
      </w:r>
      <w:r>
        <w:rPr>
          <w:lang w:val="en-BE" w:eastAsia="en-BE" w:bidi="ar-SA"/>
        </w:rPr>
        <w:t>порядок предоставления клиенту комплексного банковского обслуживания.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комплексного банковского обслуживания Банк предоставляет клиенту возможность получать в подразделениях Банка и/или через удалённые каналы обслуживания и/или вне подразделений Ба</w:t>
      </w:r>
      <w:r>
        <w:rPr>
          <w:lang w:val="en-BE" w:eastAsia="en-BE" w:bidi="ar-SA"/>
        </w:rPr>
        <w:t>нка с использованием мобильного рабочего места банковские продукты и пользоваться услугами, в том числе третьих лиц, информация о которых размещена на официальном сайте Банка и/или в подразделениях Банка, при условии прохождения успешной идентификации и ау</w:t>
      </w:r>
      <w:r>
        <w:rPr>
          <w:lang w:val="en-BE" w:eastAsia="en-BE" w:bidi="ar-SA"/>
        </w:rPr>
        <w:t>тентификации клиента (если иное не определено ДБО).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После получения банковской карты истец получил возможность совершать определённые ДБО операции по своим счетам Карт, счетам, вкладам и другим продуктам в Банке через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 (п. 1.5 Условий).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соответствии с заявлениями, истец с условиями использования карт, памяткой держателя, и тарифами Сбербанка России ознакомлена, согласен и обязуется их выполнять. Уведомлен о том, что вышеуказанные документы размещены на веб сайте Сбербанка России и подраз</w:t>
      </w:r>
      <w:r>
        <w:rPr>
          <w:lang w:val="en-BE" w:eastAsia="en-BE" w:bidi="ar-SA"/>
        </w:rPr>
        <w:t>делениях Сбербанка России.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 2.3 Условий использования банковских карт Сбербанка России, условия использования карт ОАО «Сбербанк России» (далее - Условия) в совокупности с Памяткой Держателя карт ОАО «Сбербанк России» (далее - Памятка Держателя), </w:t>
      </w:r>
      <w:r>
        <w:rPr>
          <w:lang w:val="en-BE" w:eastAsia="en-BE" w:bidi="ar-SA"/>
        </w:rPr>
        <w:t>Памяткой по безопасности при использовании карт (далее - Памятка по безопасности), Заявлением на получение карты (далее - Заявление), надлежащим образом заполненным и подписанным клиентом (далее - Клиент), Альбомом тарифов на услуги, предоставляемые ОАО «С</w:t>
      </w:r>
      <w:r>
        <w:rPr>
          <w:lang w:val="en-BE" w:eastAsia="en-BE" w:bidi="ar-SA"/>
        </w:rPr>
        <w:t>бербанк России» физическим лицам (далее - Тарифы Банка) являются заключенным между Клиентом и ОАО «Сбербанк России» (далее - Банк) Договором о выпуске и обслуживании банковских карт (далее - Договор).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между истцом и ответчиком заключен догов</w:t>
      </w:r>
      <w:r>
        <w:rPr>
          <w:lang w:val="en-BE" w:eastAsia="en-BE" w:bidi="ar-SA"/>
        </w:rPr>
        <w:t>ор выпуска и обслуживания банковской карты, на условиях, с которыми истец согласился и обязался выполнять.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После получения банковской карты Истец получил возможность совершать определенные Договором операции по своим счетам Карт в Банке через </w:t>
      </w:r>
      <w:r>
        <w:rPr>
          <w:rStyle w:val="cat-Addressgrp-1rplc-1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</w:t>
      </w:r>
      <w:r>
        <w:rPr>
          <w:lang w:val="en-BE" w:eastAsia="en-BE" w:bidi="ar-SA"/>
        </w:rPr>
        <w:t>вания (п. 10.1 Условий).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3.9.1 ДБО Клиент имеет право заключить с Банком кредитный(ые) договор(ы), в том числе с использованием Системы «Сбербанк Онлайн» автоматизированную защищенную систему дистанционного обслуживания Клиента через оф</w:t>
      </w:r>
      <w:r>
        <w:rPr>
          <w:lang w:val="en-BE" w:eastAsia="en-BE" w:bidi="ar-SA"/>
        </w:rPr>
        <w:t>ициальный сайт Банка в сети Интернет, а также Мобильное приложение Банка, в целях чего Клиент имеет право обратиться в Банк с заявлением(-ями) анкетой(-ами) на получение потребительского кредита (пп. 3.9.1.1); в случае принятия Банком положительного решени</w:t>
      </w:r>
      <w:r>
        <w:rPr>
          <w:lang w:val="en-BE" w:eastAsia="en-BE" w:bidi="ar-SA"/>
        </w:rPr>
        <w:t>я о возможности предоставления кредита инициировать заключение кредитного договора, которое производится путем направления Клиентом в Банк предложения о заключении кредитной договора в виде Индивидуальных условий «Потребительского кредита» в соответствии с</w:t>
      </w:r>
      <w:r>
        <w:rPr>
          <w:lang w:val="en-BE" w:eastAsia="en-BE" w:bidi="ar-SA"/>
        </w:rPr>
        <w:t xml:space="preserve"> «Общими условиями предоставления, обслуживания и погашения кредита для физических лиц по продукту Потребительский кредит опубликованными на Официальном сайте Банка и размещенными в подразделениях Банка осуществляющих операции кредитования физических лиц, </w:t>
      </w:r>
      <w:r>
        <w:rPr>
          <w:lang w:val="en-BE" w:eastAsia="en-BE" w:bidi="ar-SA"/>
        </w:rPr>
        <w:t>и последующего акцепта Банком полученных Индивидуальных условий «Потребительского кредита» (пп. 3.9.1.2).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3.92. ДБО проведение кредитных операций в Системе «Сбербанк Онлайн» осуществляется с учетом требований Порядка предоставления ПАО </w:t>
      </w:r>
      <w:r>
        <w:rPr>
          <w:lang w:val="en-BE" w:eastAsia="en-BE" w:bidi="ar-SA"/>
        </w:rPr>
        <w:t xml:space="preserve">Сбербанк услуг через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 (Устройства самообслуживания Банка, Систем: «Сбербанк Онлайн», «Мобильный банк», Контактный Центр Банка) (Приложение 1 к Условиям банковского обслуживания).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3.7 Приложения к Условиям банковского обслуживани</w:t>
      </w:r>
      <w:r>
        <w:rPr>
          <w:lang w:val="en-BE" w:eastAsia="en-BE" w:bidi="ar-SA"/>
        </w:rPr>
        <w:t>я доступ Клиента к услугам Системы «Сбербанк Онлайн» осуществляется при условии его успешной Идентификации и Аутентификации на основании Логина (Идентификатора пользователя) и Постоянного пароля.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3.8 Приложения 1 к Условиям банковского </w:t>
      </w:r>
      <w:r>
        <w:rPr>
          <w:lang w:val="en-BE" w:eastAsia="en-BE" w:bidi="ar-SA"/>
        </w:rPr>
        <w:t>обслуживания операции в системе «Сбербанк Онлайн» Клиент подтверждает одноразовым паролем, который вводится при совершении операции в Системе «Сбербанк-Онлайн», либо путем нажатия при совершении операции кнопки «Подтверждаю», либо ввода команды подтвержден</w:t>
      </w:r>
      <w:r>
        <w:rPr>
          <w:lang w:val="en-BE" w:eastAsia="en-BE" w:bidi="ar-SA"/>
        </w:rPr>
        <w:t>ия при совершении операции в интерфейса Системы «Сбербанк Онлайн». Необходимость подтверждения операции одноразовым паролем, тип одноразового пароля определяет Банк и доводит данную информацию до Клиента путем отображения информации в системе «Сбербанк Онл</w:t>
      </w:r>
      <w:r>
        <w:rPr>
          <w:lang w:val="en-BE" w:eastAsia="en-BE" w:bidi="ar-SA"/>
        </w:rPr>
        <w:t>айн» при совершении операции. Одноразовые пароли Клиент может получить, в том числе, в смс-сообщении, отправленном на номер мобильного телефона, подключенного Клиентом к Услуге «Мобильный банк».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пункта 2.12 приложения 1 «Условий банковского обслуживания</w:t>
      </w:r>
      <w:r>
        <w:rPr>
          <w:lang w:val="en-BE" w:eastAsia="en-BE" w:bidi="ar-SA"/>
        </w:rPr>
        <w:t xml:space="preserve"> физических лиц ОАО «Сбербанк России», следует, что Сообщения в электронной форме, направленные клиентом в Банк посредством услуги «Мобильный банк» имеют юридическую силу документов на бумажных носителях, заверенных собственноручной подписью Клиента, оформ</w:t>
      </w:r>
      <w:r>
        <w:rPr>
          <w:lang w:val="en-BE" w:eastAsia="en-BE" w:bidi="ar-SA"/>
        </w:rPr>
        <w:t xml:space="preserve">ленных в соответствии с требованиями законодательства РФ, и порождают аналогичные документам на бумажных носителях права и обязанности Клиента и Банка по договору банковского обслуживания. Данные документы в электронной форме могут служить доказательством </w:t>
      </w:r>
      <w:r>
        <w:rPr>
          <w:lang w:val="en-BE" w:eastAsia="en-BE" w:bidi="ar-SA"/>
        </w:rPr>
        <w:t xml:space="preserve">в суде.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пунктом 2.9 указанного приложения к Условиям банковского обслуживания установлено, что Клиент соглашается на передачу распоряжений/поручений и/или информации по каналам передачи сообщений, осознавая, что такие каналы передачи информации н</w:t>
      </w:r>
      <w:r>
        <w:rPr>
          <w:lang w:val="en-BE" w:eastAsia="en-BE" w:bidi="ar-SA"/>
        </w:rPr>
        <w:t>е являются безопасными, и соглашается нести все риски, связанные с возможным нарушением конфиденциальности.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Документальным подтверждением факта оказания Клиенту услуги, совершения Клиентом операции/действия является представленный ответчиком протокол прове</w:t>
      </w:r>
      <w:r>
        <w:rPr>
          <w:lang w:val="en-BE" w:eastAsia="en-BE" w:bidi="ar-SA"/>
        </w:rPr>
        <w:t>дения операций/действия в автоматизированной системе Банка, подтверждающий корректную идентификацию и аутентификацию Клиента (в том числе, использование Клиентом аналога собственноручной подписи) и оказание услуги, совершение операции/действия в такой сист</w:t>
      </w:r>
      <w:r>
        <w:rPr>
          <w:lang w:val="en-BE" w:eastAsia="en-BE" w:bidi="ar-SA"/>
        </w:rPr>
        <w:t>еме.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2.2 ДБО аналог собственноручной подписи - код, пароль или иной, указанный в Договоре аналог собственноручной подписи, используемый Клиентом для подтверждения волеизъявления Клиента на совершение операции или удостоверяющий факт сос</w:t>
      </w:r>
      <w:r>
        <w:rPr>
          <w:lang w:val="en-BE" w:eastAsia="en-BE" w:bidi="ar-SA"/>
        </w:rPr>
        <w:t xml:space="preserve">тавления и/или ознакомления, и/или подписания электронного сообщения, Электронного документа, в том числе договора в электронном виде, заключаемого через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обслуживания.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3.9 Приложения 1 к Условиям банковского обслуживания постоянный и одно</w:t>
      </w:r>
      <w:r>
        <w:rPr>
          <w:lang w:val="en-BE" w:eastAsia="en-BE" w:bidi="ar-SA"/>
        </w:rPr>
        <w:t>разовый пароли, введенные клиентом, являются аналогом собственноручной подписи Клиента. Электронные документы, в том числе договоры и заявления, подписанные и переданные с использованием постоянного и/или одноразового пароля, признаются Банком и Клиентом р</w:t>
      </w:r>
      <w:r>
        <w:rPr>
          <w:lang w:val="en-BE" w:eastAsia="en-BE" w:bidi="ar-SA"/>
        </w:rPr>
        <w:t>авнозначными документам на бумажном носителе и могут служить доказательствами в суде. Указанные документы являются основанием для проведения операций Банком и совершения иных действий (сделок).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ввод в Системе «Сбербанк Онлайн» одноразового п</w:t>
      </w:r>
      <w:r>
        <w:rPr>
          <w:lang w:val="en-BE" w:eastAsia="en-BE" w:bidi="ar-SA"/>
        </w:rPr>
        <w:t>ароля, содержащегося в смс-сообщении, направленном ей Банком, свидетельствует о подписании истцом кредитного договора аналогом собственноручной подписи.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 представленные истцом доказательства, суд исходит из того, что цель заключения истцом кредитного</w:t>
      </w:r>
      <w:r>
        <w:rPr>
          <w:lang w:val="en-BE" w:eastAsia="en-BE" w:bidi="ar-SA"/>
        </w:rPr>
        <w:t xml:space="preserve"> договора была достигнута, денежные средства в кредит были получены истцом, каких-либо нарушений условий договоров и обязательств ответчиком не допущено. Таким образом суд приходит к выводу об отказе истцу в удовлетворении требований признании кредитного д</w:t>
      </w:r>
      <w:r>
        <w:rPr>
          <w:lang w:val="en-BE" w:eastAsia="en-BE" w:bidi="ar-SA"/>
        </w:rPr>
        <w:t xml:space="preserve">оговора недействительным (ничтожным). 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отмечает, что возбуждение уголовного дела и признание потерпевшим не имеет для суда преюдициального значения. 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суд отказал в удовлетворении основной части требований, то не подлежат удовлетворению и пр</w:t>
      </w:r>
      <w:r>
        <w:rPr>
          <w:lang w:val="en-BE" w:eastAsia="en-BE" w:bidi="ar-SA"/>
        </w:rPr>
        <w:t xml:space="preserve">оизводные требования об освобождении от исполнения обязательств. 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ст.ст. 194-199 ГПК РФ, суд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</w:p>
    <w:p w:rsidR="00000000" w:rsidRDefault="006E4DBF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исковых требований Осиповой Людмилы Васильевны к ПАО «Сбербанк России» о признании кредитного до</w:t>
      </w:r>
      <w:r>
        <w:rPr>
          <w:lang w:val="en-BE" w:eastAsia="en-BE" w:bidi="ar-SA"/>
        </w:rPr>
        <w:t>говора недействительным (ничтожным), освобождении от исполнения обязательств – отказать.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2rplc-1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изготовления решения суда</w:t>
      </w:r>
      <w:r>
        <w:rPr>
          <w:lang w:val="en-BE" w:eastAsia="en-BE" w:bidi="ar-SA"/>
        </w:rPr>
        <w:t xml:space="preserve"> в окончательной форме.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изготовлено в окончательной форме 04 апреля 2022 года.</w:t>
      </w:r>
    </w:p>
    <w:p w:rsidR="00000000" w:rsidRDefault="006E4DBF">
      <w:pPr>
        <w:ind w:firstLine="567"/>
        <w:jc w:val="both"/>
        <w:rPr>
          <w:lang w:val="en-BE" w:eastAsia="en-BE" w:bidi="ar-SA"/>
        </w:rPr>
      </w:pPr>
    </w:p>
    <w:p w:rsidR="00000000" w:rsidRDefault="006E4DBF">
      <w:pPr>
        <w:ind w:firstLine="567"/>
        <w:jc w:val="both"/>
        <w:rPr>
          <w:lang w:val="en-BE" w:eastAsia="en-BE" w:bidi="ar-SA"/>
        </w:rPr>
      </w:pPr>
    </w:p>
    <w:p w:rsidR="00000000" w:rsidRDefault="006E4DBF">
      <w:pPr>
        <w:ind w:firstLine="567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                                                                                                       Д.Г. Шестаков</w:t>
      </w:r>
    </w:p>
    <w:p w:rsidR="00000000" w:rsidRDefault="006E4DBF">
      <w:pPr>
        <w:ind w:firstLine="709"/>
        <w:jc w:val="both"/>
        <w:rPr>
          <w:lang w:val="en-BE" w:eastAsia="en-BE" w:bidi="ar-SA"/>
        </w:rPr>
      </w:pPr>
    </w:p>
    <w:p w:rsidR="00000000" w:rsidRDefault="006E4DBF">
      <w:pPr>
        <w:ind w:firstLine="567"/>
        <w:jc w:val="both"/>
        <w:rPr>
          <w:lang w:val="en-BE" w:eastAsia="en-BE" w:bidi="ar-SA"/>
        </w:rPr>
      </w:pPr>
    </w:p>
    <w:sectPr w:rsidR="00000000">
      <w:footerReference w:type="default" r:id="rId25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6E4DBF">
      <w:r>
        <w:separator/>
      </w:r>
    </w:p>
  </w:endnote>
  <w:endnote w:type="continuationSeparator" w:id="0">
    <w:p w:rsidR="00000000" w:rsidRDefault="006E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6E4DBF">
    <w:pPr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6E4DBF">
      <w:r>
        <w:separator/>
      </w:r>
    </w:p>
  </w:footnote>
  <w:footnote w:type="continuationSeparator" w:id="0">
    <w:p w:rsidR="00000000" w:rsidRDefault="006E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4DBF"/>
    <w:rsid w:val="006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10FD05A0-866D-4108-93A3-22F626BD3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Sumgrp-8rplc-6">
    <w:name w:val="cat-Sum grp-8 rplc-6"/>
    <w:basedOn w:val="a0"/>
  </w:style>
  <w:style w:type="character" w:customStyle="1" w:styleId="cat-Sumgrp-8rplc-7">
    <w:name w:val="cat-Sum grp-8 rplc-7"/>
    <w:basedOn w:val="a0"/>
  </w:style>
  <w:style w:type="character" w:customStyle="1" w:styleId="cat-PhoneNumbergrp-9rplc-8">
    <w:name w:val="cat-PhoneNumber grp-9 rplc-8"/>
    <w:basedOn w:val="a0"/>
  </w:style>
  <w:style w:type="character" w:customStyle="1" w:styleId="cat-PhoneNumbergrp-9rplc-9">
    <w:name w:val="cat-PhoneNumber grp-9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Addressgrp-1rplc-11">
    <w:name w:val="cat-Address grp-1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Addressgrp-2rplc-15">
    <w:name w:val="cat-Address grp-2 rplc-1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d-praktika.ru/precedent/168779.html" TargetMode="External"/><Relationship Id="rId13" Type="http://schemas.openxmlformats.org/officeDocument/2006/relationships/hyperlink" Target="http://www.consultant.ru/document/cons_doc_LAW_341893/5565bdccdd6a230019196d6bcbf3d6bda3dee5e6/" TargetMode="External"/><Relationship Id="rId18" Type="http://schemas.openxmlformats.org/officeDocument/2006/relationships/hyperlink" Target="https://sudact.ru/law/gk-rf-chast1/razdel-i/podrazdel-4/glava-9/ss-2_2/statia-166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udact.ru/law/gk-rf-chast1/razdel-i/podrazdel-4/glava-9/ss-1_2/statia-161/" TargetMode="External"/><Relationship Id="rId7" Type="http://schemas.openxmlformats.org/officeDocument/2006/relationships/hyperlink" Target="http://www.sud-praktika.ru/precedent/168779.html" TargetMode="External"/><Relationship Id="rId12" Type="http://schemas.openxmlformats.org/officeDocument/2006/relationships/hyperlink" Target="https://sudact.ru/law/gk-rf-chast2/razdel-iv/glava-42/ss-1_4/statia-807/" TargetMode="External"/><Relationship Id="rId17" Type="http://schemas.openxmlformats.org/officeDocument/2006/relationships/hyperlink" Target="https://sudact.ru/law/gk-rf-chast1/razdel-iii/podrazdel-2_1/glava-28/statia-438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sudact.ru/law/gk-rf-chast1/razdel-iii/podrazdel-2_1/glava-28/statia-435/" TargetMode="External"/><Relationship Id="rId20" Type="http://schemas.openxmlformats.org/officeDocument/2006/relationships/hyperlink" Target="http://sudact.ru/law/gk-rf-chast1/razdel-i/podrazdel-4/glava-9/ss-1_2/statia-160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udact.ru/law/gk-rf-chast1/razdel-iii/podrazdel-2_1/glava-27/statia-421/" TargetMode="External"/><Relationship Id="rId24" Type="http://schemas.openxmlformats.org/officeDocument/2006/relationships/hyperlink" Target="http://sudact.ru/law/gk-rf-chast1/razdel-iii/podrazdel-2_1/glava-27/statia-42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udact.ru/law/gk-rf-chast1/razdel-iii/podrazdel-2_1/glava-28/statia-432/" TargetMode="External"/><Relationship Id="rId23" Type="http://schemas.openxmlformats.org/officeDocument/2006/relationships/hyperlink" Target="http://www.consultant.ru/document/cons_doc_LAW_131829/373ee330758c2c5369484b83fa46aaf50f72efd9/" TargetMode="External"/><Relationship Id="rId10" Type="http://schemas.openxmlformats.org/officeDocument/2006/relationships/hyperlink" Target="https://sudact.ru/law/gk-rf-chast1/razdel-i/podrazdel-1/glava-1/statia-1/" TargetMode="External"/><Relationship Id="rId19" Type="http://schemas.openxmlformats.org/officeDocument/2006/relationships/hyperlink" Target="https://sudact.ru/law/gk-rf-chast1/razdel-i/podrazdel-4/glava-9/ss-2_2/statia-16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d-praktika.ru/precedent/168779.html" TargetMode="External"/><Relationship Id="rId14" Type="http://schemas.openxmlformats.org/officeDocument/2006/relationships/hyperlink" Target="https://sudact.ru/law/gk-rf-chast1/razdel-iii/podrazdel-2_1/glava-28/statia-434/" TargetMode="External"/><Relationship Id="rId22" Type="http://schemas.openxmlformats.org/officeDocument/2006/relationships/hyperlink" Target="http://sudact.ru/law/gk-rf-chast1/razdel-iii/podrazdel-2_1/glava-28/statia-434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3738</Words>
  <Characters>21307</Characters>
  <Application>Microsoft Office Word</Application>
  <DocSecurity>0</DocSecurity>
  <Lines>177</Lines>
  <Paragraphs>49</Paragraphs>
  <ScaleCrop>false</ScaleCrop>
  <Company/>
  <LinksUpToDate>false</LinksUpToDate>
  <CharactersWithSpaces>24996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2024-04-10T21:19:00Z</dcterms:created>
  <dcterms:modified xsi:type="dcterms:W3CDTF">2024-04-10T21:19:00Z</dcterms:modified>
</cp:coreProperties>
</file>