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ackground w:color="ffffff">
    <v:background id="_x0000_s1025" filled="t"/>
  </w:background>
  <w:body>
    <w:p w:rsidR="00A30FDC">
      <w:pPr>
        <w:ind w:firstLine="567"/>
        <w:jc w:val="center"/>
      </w:pPr>
      <w:r>
        <w:rPr>
          <w:highlight w:val="none"/>
        </w:rPr>
        <w:t>РЕШЕНИЕ</w:t>
      </w:r>
    </w:p>
    <w:p w:rsidR="00A30FDC">
      <w:pPr>
        <w:ind w:firstLine="567"/>
        <w:jc w:val="center"/>
      </w:pPr>
      <w:r>
        <w:rPr>
          <w:highlight w:val="none"/>
        </w:rPr>
        <w:t>именем Российской Федерации</w:t>
      </w:r>
    </w:p>
    <w:p w:rsidR="00A30FDC">
      <w:pPr>
        <w:ind w:firstLine="567"/>
        <w:jc w:val="both"/>
      </w:pPr>
    </w:p>
    <w:p w:rsidR="00A30FDC">
      <w:pPr>
        <w:ind w:firstLine="567"/>
        <w:jc w:val="both"/>
      </w:pPr>
      <w:r>
        <w:rPr>
          <w:highlight w:val="none"/>
        </w:rPr>
        <w:t>27 апреля 2021 года</w:t>
      </w:r>
      <w:r>
        <w:rPr>
          <w:highlight w:val="none"/>
        </w:rPr>
        <w:tab/>
      </w:r>
      <w:r>
        <w:rPr>
          <w:highlight w:val="none"/>
        </w:rPr>
        <w:tab/>
      </w:r>
      <w:r>
        <w:rPr>
          <w:highlight w:val="none"/>
        </w:rPr>
        <w:tab/>
      </w:r>
      <w:r>
        <w:rPr>
          <w:highlight w:val="none"/>
        </w:rPr>
        <w:tab/>
      </w:r>
      <w:r>
        <w:rPr>
          <w:highlight w:val="none"/>
        </w:rPr>
        <w:tab/>
      </w:r>
      <w:r>
        <w:rPr>
          <w:highlight w:val="none"/>
        </w:rPr>
        <w:tab/>
      </w:r>
      <w:r>
        <w:rPr>
          <w:highlight w:val="none"/>
        </w:rPr>
        <w:tab/>
      </w:r>
      <w:r>
        <w:rPr>
          <w:highlight w:val="none"/>
        </w:rPr>
        <w:tab/>
      </w:r>
      <w:r>
        <w:rPr>
          <w:highlight w:val="none"/>
        </w:rPr>
        <w:tab/>
      </w:r>
      <w:r>
        <w:rPr>
          <w:rStyle w:val="cat-Addressgrp-0rplc-0"/>
          <w:highlight w:val="none"/>
        </w:rPr>
        <w:t>адрес</w:t>
      </w:r>
    </w:p>
    <w:p w:rsidR="00A30FDC">
      <w:pPr>
        <w:ind w:firstLine="567"/>
        <w:jc w:val="both"/>
      </w:pPr>
    </w:p>
    <w:p w:rsidR="00A30FDC">
      <w:pPr>
        <w:ind w:firstLine="567"/>
        <w:jc w:val="both"/>
      </w:pPr>
      <w:r>
        <w:rPr>
          <w:highlight w:val="none"/>
        </w:rPr>
        <w:t xml:space="preserve">Зюзинский районный суд </w:t>
      </w:r>
      <w:r>
        <w:rPr>
          <w:rStyle w:val="cat-Addressgrp-1rplc-1"/>
          <w:highlight w:val="none"/>
        </w:rPr>
        <w:t>адрес</w:t>
      </w:r>
      <w:r>
        <w:rPr>
          <w:highlight w:val="none"/>
        </w:rPr>
        <w:t xml:space="preserve"> в составе председательствующего судьи</w:t>
      </w:r>
      <w:r>
        <w:rPr>
          <w:highlight w:val="none"/>
        </w:rPr>
        <w:t xml:space="preserve"> </w:t>
      </w:r>
      <w:r>
        <w:rPr>
          <w:highlight w:val="none"/>
        </w:rPr>
        <w:t>,</w:t>
      </w:r>
      <w:r>
        <w:rPr>
          <w:highlight w:val="none"/>
        </w:rPr>
        <w:t xml:space="preserve"> при секретаре </w:t>
      </w:r>
      <w:r>
        <w:rPr>
          <w:rStyle w:val="cat-FIOgrp-4rplc-3"/>
          <w:highlight w:val="none"/>
        </w:rPr>
        <w:t>фио</w:t>
      </w:r>
      <w:r>
        <w:rPr>
          <w:highlight w:val="none"/>
        </w:rPr>
        <w:t xml:space="preserve">, рассмотрев в открытом судебном заседании гражданское дело № 2-2812/2021 </w:t>
      </w:r>
      <w:r>
        <w:rPr>
          <w:highlight w:val="none"/>
        </w:rPr>
        <w:t xml:space="preserve">по иску ПАО «Сбербанк России» к </w:t>
      </w:r>
      <w:r>
        <w:rPr>
          <w:highlight w:val="none"/>
        </w:rPr>
        <w:t>фио</w:t>
      </w:r>
      <w:r>
        <w:rPr>
          <w:highlight w:val="none"/>
        </w:rPr>
        <w:t xml:space="preserve"> о взыскании ссудной задолженности по эмиссионному контракту,</w:t>
      </w:r>
    </w:p>
    <w:p w:rsidR="00A30FDC">
      <w:pPr>
        <w:ind w:firstLine="567"/>
        <w:jc w:val="both"/>
      </w:pPr>
    </w:p>
    <w:p w:rsidR="00A30FDC">
      <w:pPr>
        <w:ind w:firstLine="567"/>
        <w:jc w:val="center"/>
      </w:pPr>
      <w:r>
        <w:rPr>
          <w:highlight w:val="none"/>
        </w:rPr>
        <w:t>УСТАНОВИЛ:</w:t>
      </w:r>
    </w:p>
    <w:p w:rsidR="00A30FDC">
      <w:pPr>
        <w:ind w:firstLine="567"/>
        <w:jc w:val="both"/>
      </w:pPr>
    </w:p>
    <w:p w:rsidR="00A30FDC">
      <w:pPr>
        <w:ind w:firstLine="567"/>
        <w:jc w:val="both"/>
      </w:pPr>
      <w:r>
        <w:rPr>
          <w:highlight w:val="none"/>
        </w:rPr>
        <w:t xml:space="preserve">Истец ПАО «Сбербанк России» в лице филиала Московского банка ПАО Сбербанк обратился в суд с иском к ответчику </w:t>
      </w:r>
      <w:r>
        <w:rPr>
          <w:highlight w:val="none"/>
        </w:rPr>
        <w:t>Гуловой</w:t>
      </w:r>
      <w:r>
        <w:rPr>
          <w:highlight w:val="none"/>
        </w:rPr>
        <w:t xml:space="preserve"> Н.Л. </w:t>
      </w:r>
      <w:r>
        <w:rPr>
          <w:highlight w:val="none"/>
        </w:rPr>
        <w:t xml:space="preserve">о взыскании ссудной задолженности по эмиссионному контракту, указав, что между ПАО «Сбербанк России» и </w:t>
      </w:r>
      <w:r>
        <w:rPr>
          <w:highlight w:val="none"/>
        </w:rPr>
        <w:t>Гуловой</w:t>
      </w:r>
      <w:r>
        <w:rPr>
          <w:highlight w:val="none"/>
        </w:rPr>
        <w:t xml:space="preserve"> Н.Л. 12.02.2019 года заключен эмиссионный контракт № </w:t>
      </w:r>
      <w:r>
        <w:rPr>
          <w:highlight w:val="none"/>
        </w:rPr>
        <w:t xml:space="preserve">на предоставление </w:t>
      </w:r>
      <w:r>
        <w:rPr>
          <w:highlight w:val="none"/>
        </w:rPr>
        <w:t>Гуловой</w:t>
      </w:r>
      <w:r>
        <w:rPr>
          <w:highlight w:val="none"/>
        </w:rPr>
        <w:t xml:space="preserve"> Н.Л. возобновляемой кредитной линии посредством </w:t>
      </w:r>
      <w:r>
        <w:rPr>
          <w:highlight w:val="none"/>
        </w:rPr>
        <w:t>выдачи ей банковской карты Сбербанка с предоставленным по</w:t>
      </w:r>
      <w:r>
        <w:rPr>
          <w:highlight w:val="none"/>
        </w:rPr>
        <w:t xml:space="preserve">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кредитной карты Сбербанка Ро</w:t>
      </w:r>
      <w:r>
        <w:rPr>
          <w:highlight w:val="none"/>
        </w:rPr>
        <w:t xml:space="preserve">ссии и ознакомления его с Условиями выпуска и обслуживания кредитной карты Сбербанка, Тарифами Сбербанка. Во исполнение заключенного договора </w:t>
      </w:r>
      <w:r>
        <w:rPr>
          <w:highlight w:val="none"/>
        </w:rPr>
        <w:t>Гуловой</w:t>
      </w:r>
      <w:r>
        <w:rPr>
          <w:highlight w:val="none"/>
        </w:rPr>
        <w:t xml:space="preserve"> Н.Л. выдана кредитная карта с лимитом кредита </w:t>
      </w:r>
      <w:r>
        <w:rPr>
          <w:rStyle w:val="cat-Sumgrp-9rplc-9"/>
          <w:highlight w:val="none"/>
        </w:rPr>
        <w:t>сумма</w:t>
      </w:r>
      <w:r>
        <w:rPr>
          <w:highlight w:val="none"/>
        </w:rPr>
        <w:t xml:space="preserve"> под 23,90% годовых на условиях, определенных Тарифами </w:t>
      </w:r>
      <w:r>
        <w:rPr>
          <w:highlight w:val="none"/>
        </w:rPr>
        <w:t xml:space="preserve">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ежемесячно формировать и </w:t>
      </w:r>
      <w:r>
        <w:rPr>
          <w:highlight w:val="none"/>
        </w:rPr>
        <w:t>предоставлять ответчику отчеты</w:t>
      </w:r>
      <w:r>
        <w:rPr>
          <w:highlight w:val="none"/>
        </w:rPr>
        <w:t xml:space="preserve"> по карте </w:t>
      </w:r>
      <w:r>
        <w:rPr>
          <w:highlight w:val="none"/>
        </w:rPr>
        <w:t>с указанием совершенных по карте операций, платежей за пользование кредитными средствами, в том числе сумм, обязательных платежей по карте. Погашение кредита и уплата процентов за его использование осуществляется ежемесячно по частям или полностью в соотве</w:t>
      </w:r>
      <w:r>
        <w:rPr>
          <w:highlight w:val="none"/>
        </w:rPr>
        <w:t xml:space="preserve">тствии с информацией, указанной в отчете, путём пополнения счета карты не позднее 20-ти календарных дней </w:t>
      </w:r>
      <w:r>
        <w:rPr>
          <w:highlight w:val="none"/>
        </w:rPr>
        <w:t>с даты формирования</w:t>
      </w:r>
      <w:r>
        <w:rPr>
          <w:highlight w:val="none"/>
        </w:rPr>
        <w:t xml:space="preserve"> отчета по карте. Ответчиком платежи в счет погашения задолженности по кредиту производились с нарушением в части сроков и сумм, обя</w:t>
      </w:r>
      <w:r>
        <w:rPr>
          <w:highlight w:val="none"/>
        </w:rPr>
        <w:t xml:space="preserve">зательных к погашению, и по состоянию на 24.01.2021 года образовалась задолженность в размере  </w:t>
      </w:r>
      <w:r>
        <w:rPr>
          <w:rStyle w:val="cat-Sumgrp-10rplc-10"/>
          <w:highlight w:val="none"/>
        </w:rPr>
        <w:t>сумма</w:t>
      </w:r>
      <w:r>
        <w:rPr>
          <w:highlight w:val="none"/>
        </w:rPr>
        <w:t xml:space="preserve">, </w:t>
      </w:r>
      <w:r>
        <w:rPr>
          <w:highlight w:val="none"/>
        </w:rPr>
        <w:t>из</w:t>
      </w:r>
      <w:r>
        <w:rPr>
          <w:highlight w:val="none"/>
        </w:rPr>
        <w:t xml:space="preserve"> которых: </w:t>
      </w:r>
      <w:r>
        <w:rPr>
          <w:rStyle w:val="cat-Sumgrp-11rplc-11"/>
          <w:highlight w:val="none"/>
        </w:rPr>
        <w:t>сумма</w:t>
      </w:r>
      <w:r>
        <w:rPr>
          <w:highlight w:val="none"/>
        </w:rPr>
        <w:t xml:space="preserve"> – просроченный основной долг, </w:t>
      </w:r>
      <w:r>
        <w:rPr>
          <w:rStyle w:val="cat-Sumgrp-12rplc-12"/>
          <w:highlight w:val="none"/>
        </w:rPr>
        <w:t>сумма</w:t>
      </w:r>
      <w:r>
        <w:rPr>
          <w:highlight w:val="none"/>
        </w:rPr>
        <w:t xml:space="preserve"> – просроченные проценты, </w:t>
      </w:r>
      <w:r>
        <w:rPr>
          <w:rStyle w:val="cat-Sumgrp-13rplc-13"/>
          <w:highlight w:val="none"/>
        </w:rPr>
        <w:t>сумма</w:t>
      </w:r>
      <w:r>
        <w:rPr>
          <w:highlight w:val="none"/>
        </w:rPr>
        <w:t xml:space="preserve"> – неустойка. Поскольку претензионные требования банка об оплате задол</w:t>
      </w:r>
      <w:r>
        <w:rPr>
          <w:highlight w:val="none"/>
        </w:rPr>
        <w:t xml:space="preserve">женности оставлены ответчиком без внимания, ПАО «Сбербанк России» обратился в суд с указанными требованиями, просит взыскать с ответчика задолженность по эмиссионному контракту № </w:t>
      </w:r>
      <w:r>
        <w:rPr>
          <w:highlight w:val="none"/>
        </w:rPr>
        <w:t xml:space="preserve">от 12.02.2019 года в размере </w:t>
      </w:r>
      <w:r>
        <w:rPr>
          <w:rStyle w:val="cat-Sumgrp-14rplc-14"/>
          <w:highlight w:val="none"/>
        </w:rPr>
        <w:t>сумма</w:t>
      </w:r>
      <w:r>
        <w:rPr>
          <w:highlight w:val="none"/>
        </w:rPr>
        <w:t>, а также расходы по упла</w:t>
      </w:r>
      <w:r>
        <w:rPr>
          <w:highlight w:val="none"/>
        </w:rPr>
        <w:t xml:space="preserve">те государственной пошлины в размере </w:t>
      </w:r>
      <w:r>
        <w:rPr>
          <w:rStyle w:val="cat-Sumgrp-15rplc-15"/>
          <w:highlight w:val="none"/>
        </w:rPr>
        <w:t>сумма</w:t>
      </w:r>
      <w:r>
        <w:rPr>
          <w:highlight w:val="none"/>
        </w:rPr>
        <w:t>.</w:t>
      </w:r>
    </w:p>
    <w:p w:rsidR="00A30FDC">
      <w:pPr>
        <w:ind w:firstLine="567"/>
        <w:jc w:val="both"/>
      </w:pPr>
      <w:r>
        <w:rPr>
          <w:highlight w:val="none"/>
        </w:rPr>
        <w:t>Представитель истца ПАО «Сбербанк России» в лице филиала Московского банка ПАО Сбербанк в судебное заседание не явился, о дате, месте и времени судебного заседания истец извещён надлежащим образом; при подаче иск</w:t>
      </w:r>
      <w:r>
        <w:rPr>
          <w:highlight w:val="none"/>
        </w:rPr>
        <w:t>ового заявления просил о рассмотрении дела в отсутствии представителя.</w:t>
      </w:r>
    </w:p>
    <w:p w:rsidR="00A30FDC">
      <w:pPr>
        <w:ind w:firstLine="567"/>
        <w:jc w:val="both"/>
      </w:pPr>
      <w:r>
        <w:rPr>
          <w:highlight w:val="none"/>
        </w:rPr>
        <w:t xml:space="preserve">Ответчик в судебное заседание не явился, о дате, месте и времени судебного заседания </w:t>
      </w:r>
      <w:r>
        <w:rPr>
          <w:highlight w:val="none"/>
        </w:rPr>
        <w:t>извещена</w:t>
      </w:r>
      <w:r>
        <w:rPr>
          <w:highlight w:val="none"/>
        </w:rPr>
        <w:t xml:space="preserve"> надлежащим образом. Судом принимались все меры к извещению ответчика, неоднократно направля</w:t>
      </w:r>
      <w:r>
        <w:rPr>
          <w:highlight w:val="none"/>
        </w:rPr>
        <w:t>лись повестки по месту жительства, информация о рассмотрении дела своевременно размещена на сайте суда в открытом доступе; рассмотрение дела откладывалось с целью обеспечения участия ответчика в судебном заседании, однако данным правом ответчик не воспольз</w:t>
      </w:r>
      <w:r>
        <w:rPr>
          <w:highlight w:val="none"/>
        </w:rPr>
        <w:t xml:space="preserve">овался. </w:t>
      </w:r>
    </w:p>
    <w:p w:rsidR="00A30FDC">
      <w:pPr>
        <w:ind w:firstLine="567"/>
        <w:jc w:val="both"/>
      </w:pPr>
      <w:r>
        <w:rPr>
          <w:highlight w:val="none"/>
        </w:rPr>
        <w:t>Неявка лица в судебное заседание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является преградой для рассмот</w:t>
      </w:r>
      <w:r>
        <w:rPr>
          <w:highlight w:val="none"/>
        </w:rPr>
        <w:t>рения судом дела по существу. Суд счел возможным рассмотреть дело в отсутствие сторон в порядке ст.167 ГПК РФ.</w:t>
      </w:r>
    </w:p>
    <w:p w:rsidR="00A30FDC">
      <w:pPr>
        <w:ind w:firstLine="567"/>
        <w:jc w:val="both"/>
      </w:pPr>
      <w:r>
        <w:rPr>
          <w:highlight w:val="none"/>
        </w:rPr>
        <w:t xml:space="preserve">Исследовав материалы дела, оценив собранные по делу доказательства, суд приходит к следующему выводу. </w:t>
      </w:r>
    </w:p>
    <w:p w:rsidR="00A30FDC">
      <w:pPr>
        <w:ind w:firstLine="567"/>
        <w:jc w:val="both"/>
      </w:pPr>
      <w:r>
        <w:rPr>
          <w:highlight w:val="none"/>
        </w:rPr>
        <w:t>Согласно ст.</w:t>
      </w:r>
      <w:r>
        <w:fldChar w:fldCharType="begin"/>
      </w:r>
      <w:r>
        <w:rPr>
          <w:highlight w:val="none"/>
        </w:rPr>
        <w:instrText xml:space="preserve"> HYPERLINK "http://sudact.ru/law/gk-rf-chast1/razdel-iii/podrazdel-2_1/glava-28/statia-432/" </w:instrText>
      </w:r>
      <w:r>
        <w:fldChar w:fldCharType="separate"/>
      </w:r>
      <w:r>
        <w:rPr>
          <w:color w:val="0000EE"/>
          <w:highlight w:val="none"/>
        </w:rPr>
        <w:t>432 ГК РФ</w:t>
      </w:r>
      <w:r>
        <w:fldChar w:fldCharType="end"/>
      </w:r>
      <w:r>
        <w:rPr>
          <w:highlight w:val="none"/>
        </w:rPr>
        <w:t xml:space="preserve">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(предложения заключить договор) одной из сторон и</w:t>
      </w:r>
      <w:r>
        <w:rPr>
          <w:highlight w:val="none"/>
        </w:rPr>
        <w:t xml:space="preserve"> ее акцепта (принятия предложения) другой стороной.</w:t>
      </w:r>
    </w:p>
    <w:p w:rsidR="00A30FDC">
      <w:pPr>
        <w:ind w:firstLine="567"/>
        <w:jc w:val="both"/>
      </w:pPr>
      <w:r>
        <w:rPr>
          <w:highlight w:val="none"/>
        </w:rPr>
        <w:t>В соответствии с п.1 ст.</w:t>
      </w:r>
      <w:r>
        <w:fldChar w:fldCharType="begin"/>
      </w:r>
      <w:r>
        <w:rPr>
          <w:highlight w:val="none"/>
        </w:rPr>
        <w:instrText xml:space="preserve"> HYPERLINK "http://sudact.ru/law/gk-rf-chast2/razdel-iv/glava-42/ss-2_4/statia-819/" </w:instrText>
      </w:r>
      <w:r>
        <w:fldChar w:fldCharType="separate"/>
      </w:r>
      <w:r>
        <w:rPr>
          <w:color w:val="0000EE"/>
          <w:highlight w:val="none"/>
        </w:rPr>
        <w:t>819</w:t>
      </w:r>
      <w:r>
        <w:fldChar w:fldCharType="end"/>
      </w:r>
      <w:r>
        <w:rPr>
          <w:highlight w:val="none"/>
        </w:rPr>
        <w:t xml:space="preserve"> ГК РФ по кредитному договору банк или иная кредитная организация (кредитор) обязуются пр</w:t>
      </w:r>
      <w:r>
        <w:rPr>
          <w:highlight w:val="none"/>
        </w:rPr>
        <w:t>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r>
        <w:fldChar w:fldCharType="begin"/>
      </w:r>
      <w:r>
        <w:rPr>
          <w:highlight w:val="none"/>
        </w:rPr>
        <w:instrText xml:space="preserve"> HYPERLINK "http://sudact.ru/law/gk-rf-chast2/razdel-iv/glava-42/ss-2_4/statia-819/" </w:instrText>
      </w:r>
      <w:r>
        <w:fldChar w:fldCharType="separate"/>
      </w:r>
      <w:r>
        <w:rPr>
          <w:color w:val="0000EE"/>
          <w:highlight w:val="none"/>
        </w:rPr>
        <w:t>819</w:t>
      </w:r>
      <w:r>
        <w:fldChar w:fldCharType="end"/>
      </w:r>
      <w:r>
        <w:rPr>
          <w:highlight w:val="none"/>
        </w:rPr>
        <w:t xml:space="preserve"> ГК РФ предусмотрено,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кредитного договора.</w:t>
      </w:r>
    </w:p>
    <w:p w:rsidR="00A30FDC">
      <w:pPr>
        <w:ind w:firstLine="567"/>
        <w:jc w:val="both"/>
      </w:pPr>
      <w:r>
        <w:rPr>
          <w:highlight w:val="none"/>
        </w:rPr>
        <w:t>Согласно п.3 ст.</w:t>
      </w:r>
      <w:r>
        <w:fldChar w:fldCharType="begin"/>
      </w:r>
      <w:r>
        <w:rPr>
          <w:highlight w:val="none"/>
        </w:rPr>
        <w:instrText xml:space="preserve"> HYPERLINK "http://sudact.ru/law/gk-rf-chast2/razdel-iv/glava-42/ss-1_4/statia-810/" </w:instrText>
      </w:r>
      <w:r>
        <w:fldChar w:fldCharType="separate"/>
      </w:r>
      <w:r>
        <w:rPr>
          <w:color w:val="0000EE"/>
          <w:highlight w:val="none"/>
        </w:rPr>
        <w:t>810</w:t>
      </w:r>
      <w:r>
        <w:fldChar w:fldCharType="end"/>
      </w:r>
      <w:r>
        <w:rPr>
          <w:highlight w:val="none"/>
        </w:rPr>
        <w:t xml:space="preserve"> ГК РФ, если иное не предусмотрено договором займа, сумма займа считается возвращенной в момент передачи ее заимодавцу или зачисления соответствующих</w:t>
      </w:r>
      <w:r>
        <w:rPr>
          <w:highlight w:val="none"/>
        </w:rPr>
        <w:t xml:space="preserve"> денежных средств на его банковский счет.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w:t>
      </w:r>
      <w:r>
        <w:rPr>
          <w:highlight w:val="none"/>
        </w:rPr>
        <w:t>сей оставшейся суммы займа вместе с причитающимися процентами (п.2 ст.</w:t>
      </w:r>
      <w:r>
        <w:fldChar w:fldCharType="begin"/>
      </w:r>
      <w:r>
        <w:rPr>
          <w:highlight w:val="none"/>
        </w:rPr>
        <w:instrText xml:space="preserve"> HYPERLINK "http://sudact.ru/law/gk-rf-chast2/razdel-iv/glava-42/ss-1_4/statia-811/" </w:instrText>
      </w:r>
      <w:r>
        <w:fldChar w:fldCharType="separate"/>
      </w:r>
      <w:r>
        <w:rPr>
          <w:color w:val="0000EE"/>
          <w:highlight w:val="none"/>
        </w:rPr>
        <w:t>811</w:t>
      </w:r>
      <w:r>
        <w:fldChar w:fldCharType="end"/>
      </w:r>
      <w:r>
        <w:rPr>
          <w:highlight w:val="none"/>
        </w:rPr>
        <w:t xml:space="preserve"> ГК РФ).</w:t>
      </w:r>
    </w:p>
    <w:p w:rsidR="00A30FDC">
      <w:pPr>
        <w:ind w:firstLine="567"/>
        <w:jc w:val="both"/>
      </w:pPr>
      <w:r>
        <w:rPr>
          <w:highlight w:val="none"/>
        </w:rPr>
        <w:t>Согласно ч.1 ст.</w:t>
      </w:r>
      <w:r>
        <w:fldChar w:fldCharType="begin"/>
      </w:r>
      <w:r>
        <w:rPr>
          <w:highlight w:val="none"/>
        </w:rPr>
        <w:instrText xml:space="preserve"> HYPERLINK "http://sudact.ru/law/gk-rf-chast2/razdel-iv/glava-42/ss-1_4/statia-809/" </w:instrText>
      </w:r>
      <w:r>
        <w:fldChar w:fldCharType="separate"/>
      </w:r>
      <w:r>
        <w:rPr>
          <w:color w:val="0000EE"/>
          <w:highlight w:val="none"/>
        </w:rPr>
        <w:t>809 ГК РФ</w:t>
      </w:r>
      <w:r>
        <w:fldChar w:fldCharType="end"/>
      </w:r>
      <w:r>
        <w:rPr>
          <w:highlight w:val="none"/>
        </w:rPr>
        <w:t>,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A30FDC">
      <w:pPr>
        <w:ind w:firstLine="567"/>
        <w:jc w:val="both"/>
      </w:pPr>
      <w:r>
        <w:rPr>
          <w:highlight w:val="none"/>
        </w:rPr>
        <w:t>В соответствии со ст.</w:t>
      </w:r>
      <w:r>
        <w:fldChar w:fldCharType="begin"/>
      </w:r>
      <w:r>
        <w:rPr>
          <w:highlight w:val="none"/>
        </w:rPr>
        <w:instrText xml:space="preserve"> HYPERLINK "http://sudact.ru/law/gk-rf-chast2/razdel-iv/glava-42/ss-2_4/statia-820/" </w:instrText>
      </w:r>
      <w:r>
        <w:fldChar w:fldCharType="separate"/>
      </w:r>
      <w:r>
        <w:rPr>
          <w:color w:val="0000EE"/>
          <w:highlight w:val="none"/>
        </w:rPr>
        <w:t>820</w:t>
      </w:r>
      <w:r>
        <w:fldChar w:fldCharType="end"/>
      </w:r>
      <w:r>
        <w:rPr>
          <w:highlight w:val="none"/>
        </w:rPr>
        <w:t xml:space="preserve"> ГК РФ кредитный договор должен быть заключен в письменной форме.</w:t>
      </w:r>
    </w:p>
    <w:p w:rsidR="00A30FDC">
      <w:pPr>
        <w:ind w:firstLine="567"/>
        <w:jc w:val="both"/>
      </w:pPr>
      <w:r>
        <w:rPr>
          <w:highlight w:val="none"/>
        </w:rPr>
        <w:t>Исходя из положений ст.</w:t>
      </w:r>
      <w:r>
        <w:fldChar w:fldCharType="begin"/>
      </w:r>
      <w:r>
        <w:rPr>
          <w:highlight w:val="none"/>
        </w:rPr>
        <w:instrText xml:space="preserve"> HYPERLINK "http://sudact.ru/law/gk-rf-chast2/razdel-iv/glava-42/ss-1_4/statia-810/" </w:instrText>
      </w:r>
      <w:r>
        <w:fldChar w:fldCharType="separate"/>
      </w:r>
      <w:r>
        <w:rPr>
          <w:color w:val="0000EE"/>
          <w:highlight w:val="none"/>
        </w:rPr>
        <w:t>810</w:t>
      </w:r>
      <w:r>
        <w:fldChar w:fldCharType="end"/>
      </w:r>
      <w:r>
        <w:rPr>
          <w:highlight w:val="none"/>
        </w:rPr>
        <w:t xml:space="preserve"> ГК РФ заёмщик </w:t>
      </w:r>
      <w:r>
        <w:rPr>
          <w:highlight w:val="none"/>
        </w:rPr>
        <w:t>обязан возвратить займодавцу полученную сумму займа в срок и в порядке, которые предусмотрены договором.</w:t>
      </w:r>
    </w:p>
    <w:p w:rsidR="00A30FDC">
      <w:pPr>
        <w:ind w:firstLine="567"/>
        <w:jc w:val="both"/>
      </w:pPr>
      <w:r>
        <w:rPr>
          <w:highlight w:val="none"/>
        </w:rPr>
        <w:t xml:space="preserve">Как установлено в судебном заседании, 12.02.2019 года заключен эмиссионный контракт №0910-Р-12774573570 на предоставление </w:t>
      </w:r>
      <w:r>
        <w:rPr>
          <w:highlight w:val="none"/>
        </w:rPr>
        <w:t>Гуловой</w:t>
      </w:r>
      <w:r>
        <w:rPr>
          <w:highlight w:val="none"/>
        </w:rPr>
        <w:t xml:space="preserve"> Н.Л. возобновляемой к</w:t>
      </w:r>
      <w:r>
        <w:rPr>
          <w:highlight w:val="none"/>
        </w:rPr>
        <w:t>редитной линии посредством выдачи ей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w:t>
      </w:r>
      <w:r>
        <w:rPr>
          <w:highlight w:val="none"/>
        </w:rPr>
        <w:t xml:space="preserve">редитной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w:t>
      </w:r>
      <w:r>
        <w:rPr>
          <w:highlight w:val="none"/>
        </w:rPr>
        <w:t>Гуловой</w:t>
      </w:r>
      <w:r>
        <w:rPr>
          <w:highlight w:val="none"/>
        </w:rPr>
        <w:t xml:space="preserve"> Н.Л. выдана кредитная карта с лимитом кредита </w:t>
      </w:r>
      <w:r>
        <w:rPr>
          <w:rStyle w:val="cat-Sumgrp-9rplc-18"/>
          <w:highlight w:val="none"/>
        </w:rPr>
        <w:t>сумма</w:t>
      </w:r>
      <w:r>
        <w:rPr>
          <w:highlight w:val="none"/>
        </w:rPr>
        <w:t xml:space="preserve"> под 23,90% годовых на услов</w:t>
      </w:r>
      <w:r>
        <w:rPr>
          <w:highlight w:val="none"/>
        </w:rPr>
        <w:t xml:space="preserve">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дата ежемесячного платежа – не позднее 20 дней </w:t>
      </w:r>
      <w:r>
        <w:rPr>
          <w:highlight w:val="none"/>
        </w:rPr>
        <w:t>с даты формирования</w:t>
      </w:r>
      <w:r>
        <w:rPr>
          <w:highlight w:val="none"/>
        </w:rPr>
        <w:t xml:space="preserve"> отчет</w:t>
      </w:r>
      <w:r>
        <w:rPr>
          <w:highlight w:val="none"/>
        </w:rPr>
        <w:t>а.</w:t>
      </w:r>
    </w:p>
    <w:p w:rsidR="00A30FDC">
      <w:pPr>
        <w:ind w:firstLine="567"/>
        <w:jc w:val="both"/>
      </w:pPr>
      <w:r>
        <w:rPr>
          <w:highlight w:val="none"/>
        </w:rPr>
        <w:t>В соответствии с положениями п.1 ст.329 ГК РФ,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w:t>
      </w:r>
      <w:r>
        <w:rPr>
          <w:highlight w:val="none"/>
        </w:rPr>
        <w:t>аконом или договором.</w:t>
      </w:r>
    </w:p>
    <w:p w:rsidR="00A30FDC">
      <w:pPr>
        <w:ind w:firstLine="567"/>
        <w:jc w:val="both"/>
      </w:pPr>
      <w:r>
        <w:rPr>
          <w:highlight w:val="none"/>
        </w:rPr>
        <w:t>В соответствии с п.1 ст.330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w:t>
      </w:r>
      <w:r>
        <w:rPr>
          <w:highlight w:val="none"/>
        </w:rPr>
        <w:t xml:space="preserve"> частности в случае просрочки исполнения. По требованию об уплате неустойки кредитор не обязан доказывать причинение ему убытков.</w:t>
      </w:r>
    </w:p>
    <w:p w:rsidR="00A30FDC">
      <w:pPr>
        <w:ind w:firstLine="567"/>
        <w:jc w:val="both"/>
      </w:pPr>
      <w:r>
        <w:rPr>
          <w:highlight w:val="none"/>
        </w:rPr>
        <w:t xml:space="preserve">Пунктом 12 Индивидуальных условий предусмотрено, что за несвоевременное погашение обязательных платежей взимается неустойка в </w:t>
      </w:r>
      <w:r>
        <w:rPr>
          <w:highlight w:val="none"/>
        </w:rPr>
        <w:t>размере 36 процентов годовых.</w:t>
      </w:r>
    </w:p>
    <w:p w:rsidR="00A30FDC">
      <w:pPr>
        <w:ind w:firstLine="567"/>
        <w:jc w:val="both"/>
      </w:pPr>
      <w:r>
        <w:rPr>
          <w:highlight w:val="none"/>
        </w:rPr>
        <w:t>Проанализировав условия договора, суд считает, что в договоре отражены все существенные условия такого договора: сумма кредита, срок пользования кредитом, процентная ставка, размер ответственности за несвоевременный возврат су</w:t>
      </w:r>
      <w:r>
        <w:rPr>
          <w:highlight w:val="none"/>
        </w:rPr>
        <w:t xml:space="preserve">ммы займа, отражён порядок определения размера и периодичности платежей заёмщика по договору и т.д. С данными условиями договора </w:t>
      </w:r>
      <w:r>
        <w:rPr>
          <w:rStyle w:val="cat-FIOgrp-6rplc-19"/>
          <w:highlight w:val="none"/>
        </w:rPr>
        <w:t>фио</w:t>
      </w:r>
      <w:r>
        <w:rPr>
          <w:highlight w:val="none"/>
        </w:rPr>
        <w:t xml:space="preserve"> была согласна, что подтвердила своей подписью на договоре, приложениях и дополнениях к нему.</w:t>
      </w:r>
    </w:p>
    <w:p w:rsidR="00A30FDC">
      <w:pPr>
        <w:ind w:firstLine="567"/>
        <w:jc w:val="both"/>
      </w:pPr>
      <w:r>
        <w:rPr>
          <w:highlight w:val="none"/>
        </w:rPr>
        <w:t>Во исполнение заключенного дог</w:t>
      </w:r>
      <w:r>
        <w:rPr>
          <w:highlight w:val="none"/>
        </w:rPr>
        <w:t xml:space="preserve">овора ответчику   выдана кредитная карта, с лимитом кредита </w:t>
      </w:r>
      <w:r>
        <w:rPr>
          <w:rStyle w:val="cat-Sumgrp-9rplc-20"/>
          <w:highlight w:val="none"/>
        </w:rPr>
        <w:t>сумма</w:t>
      </w:r>
      <w:r>
        <w:rPr>
          <w:highlight w:val="none"/>
        </w:rPr>
        <w:t xml:space="preserve">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w:t>
      </w:r>
      <w:r>
        <w:rPr>
          <w:highlight w:val="none"/>
        </w:rPr>
        <w:t xml:space="preserve">. </w:t>
      </w:r>
    </w:p>
    <w:p w:rsidR="00A30FDC">
      <w:pPr>
        <w:ind w:firstLine="567"/>
        <w:jc w:val="both"/>
      </w:pPr>
      <w:r>
        <w:rPr>
          <w:highlight w:val="none"/>
        </w:rPr>
        <w:t>Согласно ст.</w:t>
      </w:r>
      <w:r>
        <w:fldChar w:fldCharType="begin"/>
      </w:r>
      <w:r>
        <w:rPr>
          <w:highlight w:val="none"/>
        </w:rPr>
        <w:instrText xml:space="preserve"> HYPERLINK "http://sudact.ru/law/gk-rf-chast1/razdel-iii/podrazdel-1_1/glava-22/statia-309/" </w:instrText>
      </w:r>
      <w:r>
        <w:fldChar w:fldCharType="separate"/>
      </w:r>
      <w:r>
        <w:rPr>
          <w:color w:val="0000EE"/>
          <w:highlight w:val="none"/>
        </w:rPr>
        <w:t>309</w:t>
      </w:r>
      <w:r>
        <w:fldChar w:fldCharType="end"/>
      </w:r>
      <w:r>
        <w:rPr>
          <w:highlight w:val="none"/>
        </w:rPr>
        <w:t xml:space="preserve"> ГК РФ обязательства должны исполняться надлежащим образом в соответствии с условиями обязательства и требования закона.</w:t>
      </w:r>
    </w:p>
    <w:p w:rsidR="00A30FDC">
      <w:pPr>
        <w:ind w:firstLine="567"/>
        <w:jc w:val="both"/>
      </w:pPr>
      <w:r>
        <w:rPr>
          <w:highlight w:val="none"/>
        </w:rPr>
        <w:t xml:space="preserve">Ответчик  </w:t>
      </w:r>
      <w:r>
        <w:rPr>
          <w:highlight w:val="none"/>
        </w:rPr>
        <w:t xml:space="preserve"> свои обязательства по эмиссионному контракту надлежащим образом не исполняет, и по состоянию на  24.01.2021 года образовалась задолженность в размере  </w:t>
      </w:r>
      <w:r>
        <w:rPr>
          <w:rStyle w:val="cat-Sumgrp-10rplc-21"/>
          <w:highlight w:val="none"/>
        </w:rPr>
        <w:t>сумма</w:t>
      </w:r>
      <w:r>
        <w:rPr>
          <w:highlight w:val="none"/>
        </w:rPr>
        <w:t xml:space="preserve">, из </w:t>
      </w:r>
      <w:r>
        <w:rPr>
          <w:highlight w:val="none"/>
        </w:rPr>
        <w:t>которых</w:t>
      </w:r>
      <w:r>
        <w:rPr>
          <w:highlight w:val="none"/>
        </w:rPr>
        <w:t xml:space="preserve">: </w:t>
      </w:r>
      <w:r>
        <w:rPr>
          <w:rStyle w:val="cat-Sumgrp-11rplc-22"/>
          <w:highlight w:val="none"/>
        </w:rPr>
        <w:t>сумма</w:t>
      </w:r>
      <w:r>
        <w:rPr>
          <w:highlight w:val="none"/>
        </w:rPr>
        <w:t xml:space="preserve"> – просроченный основной долг, </w:t>
      </w:r>
      <w:r>
        <w:rPr>
          <w:rStyle w:val="cat-Sumgrp-12rplc-23"/>
          <w:highlight w:val="none"/>
        </w:rPr>
        <w:t>сумма</w:t>
      </w:r>
      <w:r>
        <w:rPr>
          <w:highlight w:val="none"/>
        </w:rPr>
        <w:t xml:space="preserve"> – просроченные проценты, </w:t>
      </w:r>
      <w:r>
        <w:rPr>
          <w:rStyle w:val="cat-Sumgrp-13rplc-24"/>
          <w:highlight w:val="none"/>
        </w:rPr>
        <w:t>сумма</w:t>
      </w:r>
      <w:r>
        <w:rPr>
          <w:highlight w:val="none"/>
        </w:rPr>
        <w:t xml:space="preserve"> – неустойка.</w:t>
      </w:r>
      <w:r>
        <w:rPr>
          <w:highlight w:val="none"/>
        </w:rPr>
        <w:t xml:space="preserve"> </w:t>
      </w:r>
    </w:p>
    <w:p w:rsidR="00A30FDC">
      <w:pPr>
        <w:ind w:firstLine="567"/>
        <w:jc w:val="both"/>
      </w:pPr>
      <w:r>
        <w:rPr>
          <w:highlight w:val="none"/>
        </w:rPr>
        <w:t xml:space="preserve">ПАО «Сбербанк России» направил </w:t>
      </w:r>
      <w:r>
        <w:rPr>
          <w:highlight w:val="none"/>
        </w:rPr>
        <w:t>Гуловой</w:t>
      </w:r>
      <w:r>
        <w:rPr>
          <w:highlight w:val="none"/>
        </w:rPr>
        <w:t xml:space="preserve"> Н.Л. требование о досрочном возврате суммы кредита, процентов за пользование кредитом и уплате неустойки, однако данное требование исполнено не было.</w:t>
      </w:r>
    </w:p>
    <w:p w:rsidR="00A30FDC">
      <w:pPr>
        <w:ind w:firstLine="567"/>
        <w:jc w:val="both"/>
      </w:pPr>
      <w:r>
        <w:rPr>
          <w:highlight w:val="none"/>
        </w:rPr>
        <w:t>Поскольку факт предоставления денежных средств в соответствии с у</w:t>
      </w:r>
      <w:r>
        <w:rPr>
          <w:highlight w:val="none"/>
        </w:rPr>
        <w:t>словиями кредитного договора, ответчиком не оспорен, объективных доказательств, опровергающих факт ненадлежащего исполнения ответчиком принятых на себя обязательств, суду не представлено, направленные истцом требования о необходимости погашения задолженнос</w:t>
      </w:r>
      <w:r>
        <w:rPr>
          <w:highlight w:val="none"/>
        </w:rPr>
        <w:t>ти также не исполнены, суд признает исковые требования обоснованными и подлежащими удовлетворению в полном объёме в заявленном ПАО «Сбербанк России» размере.</w:t>
      </w:r>
    </w:p>
    <w:p w:rsidR="00A30FDC">
      <w:pPr>
        <w:ind w:firstLine="567"/>
        <w:jc w:val="both"/>
      </w:pPr>
      <w:r>
        <w:rPr>
          <w:highlight w:val="none"/>
        </w:rPr>
        <w:t>Суд считает, что поскольку факт нарушения условий договора со стороны заёмщика нашёл своё подтверж</w:t>
      </w:r>
      <w:r>
        <w:rPr>
          <w:highlight w:val="none"/>
        </w:rPr>
        <w:t>дение, истец вправе требовать взыскания с ответчика и штрафных санкций.</w:t>
      </w:r>
    </w:p>
    <w:p w:rsidR="00A30FDC">
      <w:pPr>
        <w:ind w:firstLine="567"/>
        <w:jc w:val="both"/>
      </w:pPr>
      <w:r>
        <w:rPr>
          <w:highlight w:val="none"/>
        </w:rPr>
        <w:t>Ответчиком расчёт суммы основного долга и неустойки, предоставленный истцом, не оспорен, объективных доказательств, опровергающих факт ненадлежащего исполнения заёмщиком принятых на се</w:t>
      </w:r>
      <w:r>
        <w:rPr>
          <w:highlight w:val="none"/>
        </w:rPr>
        <w:t>бя обязательств, а также доказательств, которые бы опровергали размер задолженности, ответчиком не представлено. Судом доказательств, которые бы опровергали доводы стороны истца, не добыто; суд находит расчёт истца арифметически верным и считает, что он мо</w:t>
      </w:r>
      <w:r>
        <w:rPr>
          <w:highlight w:val="none"/>
        </w:rPr>
        <w:t>жет быть положен в основу решения суда.</w:t>
      </w:r>
    </w:p>
    <w:p w:rsidR="00A30FDC">
      <w:pPr>
        <w:ind w:firstLine="567"/>
        <w:jc w:val="both"/>
      </w:pPr>
      <w:r>
        <w:rPr>
          <w:highlight w:val="none"/>
        </w:rPr>
        <w:t xml:space="preserve">ПАО «Сбербанк России» при подаче искового заявления была уплачена государственная пошлина в размере 10 319. </w:t>
      </w:r>
      <w:r>
        <w:rPr>
          <w:rStyle w:val="cat-Sumgrp-16rplc-26"/>
          <w:highlight w:val="none"/>
        </w:rPr>
        <w:t>сумма</w:t>
      </w:r>
      <w:r>
        <w:rPr>
          <w:highlight w:val="none"/>
        </w:rPr>
        <w:t xml:space="preserve">, что подтверждается платежным поручением №459851 от 16.02.2021, которая подлежат взысканию с </w:t>
      </w:r>
      <w:r>
        <w:rPr>
          <w:highlight w:val="none"/>
        </w:rPr>
        <w:t>Гуловой</w:t>
      </w:r>
      <w:r>
        <w:rPr>
          <w:highlight w:val="none"/>
        </w:rPr>
        <w:t xml:space="preserve"> Н</w:t>
      </w:r>
      <w:r>
        <w:rPr>
          <w:highlight w:val="none"/>
        </w:rPr>
        <w:t>.Л.  в пользу ПАО «Сбербанк России».</w:t>
      </w:r>
    </w:p>
    <w:p w:rsidR="00A30FDC">
      <w:pPr>
        <w:ind w:firstLine="567"/>
        <w:jc w:val="both"/>
      </w:pPr>
      <w:r>
        <w:rPr>
          <w:highlight w:val="none"/>
        </w:rPr>
        <w:t xml:space="preserve">На основании </w:t>
      </w:r>
      <w:r>
        <w:rPr>
          <w:highlight w:val="none"/>
        </w:rPr>
        <w:t>изложенного</w:t>
      </w:r>
      <w:r>
        <w:rPr>
          <w:highlight w:val="none"/>
        </w:rPr>
        <w:t xml:space="preserve">, руководствуясь </w:t>
      </w:r>
      <w:r>
        <w:rPr>
          <w:highlight w:val="none"/>
        </w:rPr>
        <w:t>ст.ст</w:t>
      </w:r>
      <w:r>
        <w:rPr>
          <w:highlight w:val="none"/>
        </w:rPr>
        <w:t>. 194-199 ГПК РФ, суд</w:t>
      </w:r>
    </w:p>
    <w:p w:rsidR="00A30FDC">
      <w:pPr>
        <w:ind w:firstLine="567"/>
        <w:jc w:val="both"/>
      </w:pPr>
    </w:p>
    <w:p w:rsidR="00A30FDC">
      <w:pPr>
        <w:ind w:firstLine="567"/>
        <w:jc w:val="center"/>
      </w:pPr>
      <w:r>
        <w:rPr>
          <w:highlight w:val="none"/>
        </w:rPr>
        <w:t>РЕШИЛ:</w:t>
      </w:r>
    </w:p>
    <w:p w:rsidR="00A30FDC">
      <w:pPr>
        <w:ind w:firstLine="567"/>
        <w:jc w:val="both"/>
      </w:pPr>
      <w:r>
        <w:rPr>
          <w:highlight w:val="none"/>
        </w:rPr>
        <w:t> </w:t>
      </w:r>
    </w:p>
    <w:p w:rsidR="00A30FDC">
      <w:pPr>
        <w:ind w:firstLine="567"/>
        <w:jc w:val="both"/>
      </w:pPr>
      <w:r>
        <w:rPr>
          <w:highlight w:val="none"/>
        </w:rPr>
        <w:t xml:space="preserve">Взыскать с </w:t>
      </w:r>
      <w:r>
        <w:rPr>
          <w:highlight w:val="none"/>
        </w:rPr>
        <w:t>фио</w:t>
      </w:r>
      <w:r>
        <w:rPr>
          <w:highlight w:val="none"/>
        </w:rPr>
        <w:t xml:space="preserve"> в пользу ПАО «Сбербанк России»    денежные средства в размере </w:t>
      </w:r>
      <w:r>
        <w:rPr>
          <w:rStyle w:val="cat-Sumgrp-10rplc-29"/>
          <w:highlight w:val="none"/>
        </w:rPr>
        <w:t>сумма</w:t>
      </w:r>
      <w:r>
        <w:rPr>
          <w:highlight w:val="none"/>
        </w:rPr>
        <w:t xml:space="preserve">, расходы по уплате государственной </w:t>
      </w:r>
      <w:r>
        <w:rPr>
          <w:highlight w:val="none"/>
        </w:rPr>
        <w:t xml:space="preserve">пошлины в размере </w:t>
      </w:r>
      <w:r>
        <w:rPr>
          <w:rStyle w:val="cat-Sumgrp-17rplc-30"/>
          <w:highlight w:val="none"/>
        </w:rPr>
        <w:t>сумма</w:t>
      </w:r>
    </w:p>
    <w:p w:rsidR="00A30FDC">
      <w:pPr>
        <w:ind w:firstLine="567"/>
        <w:jc w:val="both"/>
      </w:pPr>
      <w:r>
        <w:rPr>
          <w:highlight w:val="none"/>
        </w:rPr>
        <w:t xml:space="preserve">Решение может быть обжаловано </w:t>
      </w:r>
      <w:r>
        <w:rPr>
          <w:highlight w:val="none"/>
        </w:rPr>
        <w:t>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w:t>
      </w:r>
      <w:r>
        <w:rPr>
          <w:highlight w:val="none"/>
        </w:rPr>
        <w:t xml:space="preserve"> по гражданским делам Зюзинского районного суда </w:t>
      </w:r>
      <w:r>
        <w:rPr>
          <w:rStyle w:val="cat-Addressgrp-1rplc-31"/>
          <w:highlight w:val="none"/>
        </w:rPr>
        <w:t>адре</w:t>
      </w:r>
      <w:r>
        <w:rPr>
          <w:rStyle w:val="cat-Addressgrp-1rplc-31"/>
          <w:highlight w:val="none"/>
        </w:rPr>
        <w:t>с</w:t>
      </w:r>
      <w:r>
        <w:rPr>
          <w:highlight w:val="none"/>
        </w:rPr>
        <w:t>.</w:t>
      </w:r>
    </w:p>
    <w:p w:rsidR="00A30FDC">
      <w:pPr>
        <w:ind w:firstLine="567"/>
        <w:jc w:val="both"/>
        <w:rPr>
          <w:sz w:val="20"/>
          <w:szCs w:val="20"/>
        </w:rPr>
      </w:pPr>
      <w:r>
        <w:rPr>
          <w:sz w:val="20"/>
          <w:szCs w:val="20"/>
          <w:highlight w:val="none"/>
        </w:rPr>
        <w:t> </w:t>
      </w:r>
    </w:p>
    <w:p w:rsidR="00A30FDC" w:rsidP="004E3B59">
      <w:pPr>
        <w:ind w:firstLine="567"/>
        <w:jc w:val="both"/>
      </w:pPr>
      <w:r>
        <w:rPr>
          <w:highlight w:val="none"/>
        </w:rPr>
        <w:t xml:space="preserve">Судья                                                                                                               </w:t>
      </w:r>
    </w:p>
    <w:p w:rsidR="00A30FDC"/>
    <w:p w:rsidR="00A30FDC"/>
    <w:p w:rsidR="00A30FDC"/>
    <w:p w:rsidR="00A30FDC"/>
    <w:p w:rsidR="00A30FDC"/>
    <w:p w:rsidR="00A30FDC"/>
    <w:p w:rsidR="00A30FDC"/>
    <w:p w:rsidR="00A30FDC"/>
    <w:p w:rsidR="00A30FDC"/>
    <w:p w:rsidR="00A30FDC"/>
    <w:p w:rsidR="00A30FDC"/>
    <w:p w:rsidR="00A30FDC"/>
    <w:p w:rsidR="00A30FDC"/>
    <w:p w:rsidR="00A30FDC"/>
    <w:sectPr>
      <w:pgSz w:w="12240" w:h="15840"/>
      <w:pgMar w:top="1134" w:right="850" w:bottom="1134"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4rplc-3">
    <w:name w:val="cat-FIO grp-4 rplc-3"/>
    <w:basedOn w:val="DefaultParagraphFont"/>
  </w:style>
  <w:style w:type="character" w:customStyle="1" w:styleId="cat-Sumgrp-9rplc-9">
    <w:name w:val="cat-Sum grp-9 rplc-9"/>
    <w:basedOn w:val="DefaultParagraphFont"/>
  </w:style>
  <w:style w:type="character" w:customStyle="1" w:styleId="cat-Sumgrp-10rplc-10">
    <w:name w:val="cat-Sum grp-10 rplc-10"/>
    <w:basedOn w:val="DefaultParagraphFont"/>
  </w:style>
  <w:style w:type="character" w:customStyle="1" w:styleId="cat-Sumgrp-11rplc-11">
    <w:name w:val="cat-Sum grp-11 rplc-11"/>
    <w:basedOn w:val="DefaultParagraphFont"/>
  </w:style>
  <w:style w:type="character" w:customStyle="1" w:styleId="cat-Sumgrp-12rplc-12">
    <w:name w:val="cat-Sum grp-12 rplc-12"/>
    <w:basedOn w:val="DefaultParagraphFont"/>
  </w:style>
  <w:style w:type="character" w:customStyle="1" w:styleId="cat-Sumgrp-13rplc-13">
    <w:name w:val="cat-Sum grp-13 rplc-13"/>
    <w:basedOn w:val="DefaultParagraphFont"/>
  </w:style>
  <w:style w:type="character" w:customStyle="1" w:styleId="cat-Sumgrp-14rplc-14">
    <w:name w:val="cat-Sum grp-14 rplc-14"/>
    <w:basedOn w:val="DefaultParagraphFont"/>
  </w:style>
  <w:style w:type="character" w:customStyle="1" w:styleId="cat-Sumgrp-15rplc-15">
    <w:name w:val="cat-Sum grp-15 rplc-15"/>
    <w:basedOn w:val="DefaultParagraphFont"/>
  </w:style>
  <w:style w:type="character" w:customStyle="1" w:styleId="cat-Sumgrp-9rplc-18">
    <w:name w:val="cat-Sum grp-9 rplc-18"/>
    <w:basedOn w:val="DefaultParagraphFont"/>
  </w:style>
  <w:style w:type="character" w:customStyle="1" w:styleId="cat-FIOgrp-6rplc-19">
    <w:name w:val="cat-FIO grp-6 rplc-19"/>
    <w:basedOn w:val="DefaultParagraphFont"/>
  </w:style>
  <w:style w:type="character" w:customStyle="1" w:styleId="cat-Sumgrp-9rplc-20">
    <w:name w:val="cat-Sum grp-9 rplc-20"/>
    <w:basedOn w:val="DefaultParagraphFont"/>
  </w:style>
  <w:style w:type="character" w:customStyle="1" w:styleId="cat-Sumgrp-10rplc-21">
    <w:name w:val="cat-Sum grp-10 rplc-21"/>
    <w:basedOn w:val="DefaultParagraphFont"/>
  </w:style>
  <w:style w:type="character" w:customStyle="1" w:styleId="cat-Sumgrp-11rplc-22">
    <w:name w:val="cat-Sum grp-11 rplc-22"/>
    <w:basedOn w:val="DefaultParagraphFont"/>
  </w:style>
  <w:style w:type="character" w:customStyle="1" w:styleId="cat-Sumgrp-12rplc-23">
    <w:name w:val="cat-Sum grp-12 rplc-23"/>
    <w:basedOn w:val="DefaultParagraphFont"/>
  </w:style>
  <w:style w:type="character" w:customStyle="1" w:styleId="cat-Sumgrp-13rplc-24">
    <w:name w:val="cat-Sum grp-13 rplc-24"/>
    <w:basedOn w:val="DefaultParagraphFont"/>
  </w:style>
  <w:style w:type="character" w:customStyle="1" w:styleId="cat-Sumgrp-16rplc-26">
    <w:name w:val="cat-Sum grp-16 rplc-26"/>
    <w:basedOn w:val="DefaultParagraphFont"/>
  </w:style>
  <w:style w:type="character" w:customStyle="1" w:styleId="cat-Sumgrp-10rplc-29">
    <w:name w:val="cat-Sum grp-10 rplc-29"/>
    <w:basedOn w:val="DefaultParagraphFont"/>
  </w:style>
  <w:style w:type="character" w:customStyle="1" w:styleId="cat-Sumgrp-17rplc-30">
    <w:name w:val="cat-Sum grp-17 rplc-30"/>
    <w:basedOn w:val="DefaultParagraphFont"/>
  </w:style>
  <w:style w:type="character" w:customStyle="1" w:styleId="cat-Addressgrp-1rplc-31">
    <w:name w:val="cat-Address grp-1 rplc-3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