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12 апреля 2022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года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0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ванное решение изготовлено 1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5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04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.20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FIOgrp-4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2842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Елене Викторовне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ому контракту № 0910-Р-12442992390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задолженности, мотивируя свои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21 декабря 2018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Елена Викторовна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заключили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 контракт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0910-Р-12442992390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 исполнение заключенного договора Подразделением Банка ответчику была выдана кредитная карта. Также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заключенным договором.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условиями, в случае ненадлежащего исполнения ответчиком условий заключенного договора, Банк имеет право досрочно потребовать оплаты всей суммы задолженности по карте.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708"/>
        </w:tabs>
        <w:spacing w:before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Елены Викторовны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0910-Р-12442992390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21 декабря 2018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в размере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504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621,36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рублей.</w:t>
      </w:r>
    </w:p>
    <w:p>
      <w:pPr>
        <w:numPr>
          <w:ilvl w:val="0"/>
          <w:numId w:val="1"/>
        </w:numPr>
        <w:tabs>
          <w:tab w:val="left" w:pos="708"/>
        </w:tabs>
        <w:spacing w:after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Елены Викторовны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судебные расходы по оплате государственной пошлины в размере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246,21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рублей.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явился, о дате и времени судебного заседания извещен судом надлежащим образом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адресу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подтвержденному ГУ МВД России,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ГБУ МФЦ </w:t>
      </w:r>
      <w:r>
        <w:rPr>
          <w:rStyle w:val="cat-Addressgrp-1rplc-1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причины неявки суду не представил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ходатайств об отложении судебного заседания не заявлял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отсутствие сторон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извещенных надлежащим образом,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ч.2 ст.811 ГК РФ банк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21 декабря 2018 года 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Елена Викторовна заключили эмиссионный контракт № 0910-Р-12442992390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 по карте предоставляется 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тчику кредитного лимита под 23,9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%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годовых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Лими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 по кредитной карте составляет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420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000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рублей.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504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621,36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а именно: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просроченный основной долг 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419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975,09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70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535,52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14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110,75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09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октября 2020 года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Поскольку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представлены доказательства надлежащего исполнения своих обязательств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0910-Р-12442992390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21 декабря 2018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 считает исковые требования о взыскании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Елены Викторовны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суммы задолженности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0910-Р-12442992390 от 21 декабря 2018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504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621,36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рублей 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Пятьсот четыре тысячи шестьсот двадцать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один рубль 36 копеек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со ст.98 ГПК РФ с ответчика подлежат взысканию расходы, затраченные истцом на оплату государственной пошлины в размере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246,21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а также руководствуясь ст.ст.194-198 ГПК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Елены Викторовны сумму задолженности по эмиссионному контракту № 0910-Р-12442992390 от 21 декабря 2018 года в размере 504 621,36 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Спектор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Елены Викторовны судебные расходы по оплате государственной пошлины 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8 246,21 рублей.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течение одного месяца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даты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 xml:space="preserve">       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 xml:space="preserve">               </w:t>
      </w:r>
      <w:r>
        <w:rPr>
          <w:rStyle w:val="cat-FIOgrp-7rplc-25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  <w:r>
        <w:rPr>
          <w:rFonts w:ascii="Calibri" w:eastAsia="Calibri" w:hAnsi="Calibri" w:cs="Calibri"/>
          <w:sz w:val="26"/>
          <w:szCs w:val="26"/>
          <w:highlight w:val="none"/>
        </w:rPr>
        <w:t xml:space="preserve"> 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86656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77RS0021-02-2022-001631-71</w:t>
    </w:r>
  </w:p>
  <w:p>
    <w:pPr>
      <w:spacing w:before="0" w:after="0"/>
      <w:rPr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FIOgrp-7rplc-25">
    <w:name w:val="cat-FIO grp-7 rplc-25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88B39-E0AD-4CF6-B359-134E81A8738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