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73BD6">
      <w:pPr>
        <w:ind w:left="3540" w:firstLine="708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77RS0015-02-2021-001678-38</w:t>
      </w:r>
    </w:p>
    <w:p w:rsidR="00000000" w:rsidRDefault="00B73BD6">
      <w:pPr>
        <w:ind w:left="3540"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Дело № 2-2915/21</w:t>
      </w: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РЕШЕНИЕ</w:t>
      </w: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01 сентября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B73BD6">
      <w:pPr>
        <w:ind w:firstLine="709"/>
        <w:jc w:val="both"/>
        <w:rPr>
          <w:lang w:val="en-BE" w:eastAsia="en-BE" w:bidi="ar-SA"/>
        </w:rPr>
      </w:pPr>
    </w:p>
    <w:p w:rsidR="00000000" w:rsidRDefault="00B73BD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Максимовских Н.Ю., при секретаре </w:t>
      </w:r>
      <w:r>
        <w:rPr>
          <w:rStyle w:val="cat-FIOgrp-1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:rsidR="00000000" w:rsidRDefault="00B73BD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</w:t>
      </w:r>
      <w:r>
        <w:rPr>
          <w:lang w:val="en-BE" w:eastAsia="en-BE" w:bidi="ar-SA"/>
        </w:rPr>
        <w:t>отрев в открытом судебном заседании гражданское дело № 2-2915/21 по иску ПАО «Сбербанк России» в лице Московского филиала Московского банка Сбербанка ПАО Сбербанк к Коротковой Марине Вячеславовне, Короткову Александру Николаевичу о взыскании задолженности,</w:t>
      </w:r>
      <w:r>
        <w:rPr>
          <w:lang w:val="en-BE" w:eastAsia="en-BE" w:bidi="ar-SA"/>
        </w:rPr>
        <w:t xml:space="preserve"> 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руководствуясь ст. 199 ГПК РФ, суд</w:t>
      </w: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  ПАО «Сбербанк России» в лице Московского филиала Московского банка Сбербанка ПАО Сбербанк к  Коротковой Марине Вячеславовне, Короткову Александру Николаевичу о взыскании задолж</w:t>
      </w:r>
      <w:r>
        <w:rPr>
          <w:lang w:val="en-BE" w:eastAsia="en-BE" w:bidi="ar-SA"/>
        </w:rPr>
        <w:t>енности  – удовлетворить.</w:t>
      </w:r>
    </w:p>
    <w:p w:rsidR="00000000" w:rsidRDefault="00B73BD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Взыскать  солидарно с  Коротковой Марины Вячеславовны, Короткова Александра Николаевича в пользу ПАО «Сбербанк России» в пределах стоимости перешедшего к ним наследственного имущества задолженность по кредитному договору в размер</w:t>
      </w:r>
      <w:r>
        <w:rPr>
          <w:lang w:val="en-BE" w:eastAsia="en-BE" w:bidi="ar-SA"/>
        </w:rPr>
        <w:t xml:space="preserve">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10"/>
          <w:lang w:val="en-BE" w:eastAsia="en-BE" w:bidi="ar-SA"/>
        </w:rPr>
        <w:t>сумма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путем подачи апелляционной жалобы через Люблинский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со дня принятия решения суда в окончательной </w:t>
      </w:r>
      <w:r>
        <w:rPr>
          <w:lang w:val="en-BE" w:eastAsia="en-BE" w:bidi="ar-SA"/>
        </w:rPr>
        <w:t>форме.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Максимовских Н.Ю.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 </w:t>
      </w: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</w:t>
      </w: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</w:p>
    <w:p w:rsidR="00000000" w:rsidRDefault="00B73BD6">
      <w:pPr>
        <w:ind w:left="3540"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УИД 77RS0015-02-2021-001678-38</w:t>
      </w:r>
    </w:p>
    <w:p w:rsidR="00000000" w:rsidRDefault="00B73BD6">
      <w:pPr>
        <w:ind w:left="3540"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Дело № 2-2915/21</w:t>
      </w: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РЕШЕНИЕ</w:t>
      </w: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01 сентября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</w:t>
      </w:r>
      <w:r>
        <w:rPr>
          <w:rStyle w:val="cat-Addressgrp-0rplc-12"/>
          <w:lang w:val="en-BE" w:eastAsia="en-BE" w:bidi="ar-SA"/>
        </w:rPr>
        <w:t>адрес</w:t>
      </w:r>
    </w:p>
    <w:p w:rsidR="00000000" w:rsidRDefault="00B73BD6">
      <w:pPr>
        <w:ind w:firstLine="709"/>
        <w:jc w:val="both"/>
        <w:rPr>
          <w:lang w:val="en-BE" w:eastAsia="en-BE" w:bidi="ar-SA"/>
        </w:rPr>
      </w:pPr>
    </w:p>
    <w:p w:rsidR="00000000" w:rsidRDefault="00B73BD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0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</w:t>
      </w:r>
      <w:r>
        <w:rPr>
          <w:lang w:val="en-BE" w:eastAsia="en-BE" w:bidi="ar-SA"/>
        </w:rPr>
        <w:t xml:space="preserve">аве председательствующего судьи Максимовских Н.Ю., при секретаре </w:t>
      </w:r>
      <w:r>
        <w:rPr>
          <w:rStyle w:val="cat-FIOgrp-1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:rsidR="00000000" w:rsidRDefault="00B73BD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2-2915/21 по иску ПАО «Сбербанк России» в лице Московского филиала Московского банка Сбербанка ПАО Сбербанк к Коротковой Мар</w:t>
      </w:r>
      <w:r>
        <w:rPr>
          <w:lang w:val="en-BE" w:eastAsia="en-BE" w:bidi="ar-SA"/>
        </w:rPr>
        <w:t xml:space="preserve">ине Вячеславовне, Короткову Александру Николаевичу о взыскании задолженности, </w:t>
      </w:r>
    </w:p>
    <w:p w:rsidR="00000000" w:rsidRDefault="00B73BD6">
      <w:pPr>
        <w:ind w:firstLine="709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B73BD6">
      <w:pPr>
        <w:ind w:firstLine="709"/>
        <w:jc w:val="both"/>
        <w:rPr>
          <w:lang w:val="en-BE" w:eastAsia="en-BE" w:bidi="ar-SA"/>
        </w:rPr>
      </w:pPr>
    </w:p>
    <w:p w:rsidR="00000000" w:rsidRDefault="00B73BD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ПАО Сбербанк России в лице филиала Московского банка ПАО Сбербанк обратилось в суд к наследственному имуществу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К участию в деле в качестве ответчиков привлечен</w:t>
      </w:r>
      <w:r>
        <w:rPr>
          <w:lang w:val="en-BE" w:eastAsia="en-BE" w:bidi="ar-SA"/>
        </w:rPr>
        <w:t xml:space="preserve">ы Короткова М.В., Коротков А.Н. Требования мотивировало тем, что 22.05.2012 года между ПАО Сбербанк России  и </w:t>
      </w:r>
      <w:r>
        <w:rPr>
          <w:rStyle w:val="cat-FIOgrp-9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 был заключен эмиссионный контракт № 0910-Р-580657000 на предоставление возобновляемой кредитной линии посредством выдачи банковской карты  с </w:t>
      </w:r>
      <w:r>
        <w:rPr>
          <w:lang w:val="en-BE" w:eastAsia="en-BE" w:bidi="ar-SA"/>
        </w:rPr>
        <w:t>предоставленным по ней кредитом и обслуживанием счета по данной карте в российских рублях. Во исполнение заключенного договора истцом ответчику была выдана кредитная карта, условия предоставления и возврата которого изложены в Индивидуальных условиях, усло</w:t>
      </w:r>
      <w:r>
        <w:rPr>
          <w:lang w:val="en-BE" w:eastAsia="en-BE" w:bidi="ar-SA"/>
        </w:rPr>
        <w:t xml:space="preserve">виях и в тарифах банка. Также ответчику был открыт счет для отражения операций, проводимых с использованием международной кредитной карты, в соответствии с заключенным договором. Платежи в счет погашения задолженности по кредиту ответчиком производились с </w:t>
      </w:r>
      <w:r>
        <w:rPr>
          <w:lang w:val="en-BE" w:eastAsia="en-BE" w:bidi="ar-SA"/>
        </w:rPr>
        <w:t xml:space="preserve">нарушениями в части сроков и сумм, обязательных к погашению. По состоянию на 05.08.2020г. задолженность составляет: просроченный долг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</w:t>
      </w:r>
      <w:r>
        <w:rPr>
          <w:rStyle w:val="cat-Sumgrp-14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07.11.2012 г. </w:t>
      </w:r>
      <w:r>
        <w:rPr>
          <w:rStyle w:val="cat-FIOgrp-10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Просит взыскать указанную сумму задолженности</w:t>
      </w:r>
      <w:r>
        <w:rPr>
          <w:lang w:val="en-BE" w:eastAsia="en-BE" w:bidi="ar-SA"/>
        </w:rPr>
        <w:t xml:space="preserve"> из стоимости наследственного имущества и расходы по уплате государственной пошлины в размере </w:t>
      </w:r>
      <w:r>
        <w:rPr>
          <w:rStyle w:val="cat-Sumgrp-12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B73BD6">
      <w:pPr>
        <w:widowControl w:val="0"/>
        <w:spacing w:line="274" w:lineRule="atLeast"/>
        <w:ind w:left="20" w:right="20"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</w:t>
      </w:r>
      <w:r>
        <w:rPr>
          <w:sz w:val="23"/>
          <w:szCs w:val="23"/>
          <w:lang w:val="en-BE" w:eastAsia="en-BE" w:bidi="ar-SA"/>
        </w:rPr>
        <w:t>Истец в судебное заседание не явился, извещен надлежащим образом, просил рассмотреть дело в свое отсутствие.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Ответчики в судебное заседание не явились</w:t>
      </w:r>
      <w:r>
        <w:rPr>
          <w:lang w:val="en-BE" w:eastAsia="en-BE" w:bidi="ar-SA"/>
        </w:rPr>
        <w:t xml:space="preserve">, об уважительности причин неявки суду не сообщили.   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протяжении всего судебного разбирательства судебные извещения ответчиками не были получены. Вся корреспонденция, направляемая судом ответчикам, вернулась в суд с отметкой «истечения срока хранения» </w:t>
      </w:r>
      <w:r>
        <w:rPr>
          <w:lang w:val="en-BE" w:eastAsia="en-BE" w:bidi="ar-SA"/>
        </w:rPr>
        <w:t>в качестве причины невручения. Информация о движении дела, о времени и месте судебных заседаний своевременно размещалась на официальном сайте суда в информационно-телекоммуникационной сети «Интернет».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Учитывая, что ответчики о времени и месте судебного за</w:t>
      </w:r>
      <w:r>
        <w:rPr>
          <w:lang w:val="en-BE" w:eastAsia="en-BE" w:bidi="ar-SA"/>
        </w:rPr>
        <w:t xml:space="preserve">седания судом извещены надлежащим образом, в том числе публично, путем размещения информации о времени и месте судебных заседаний на сайте суда за срок, достаточный для обеспечения явки и подготовки к судебному заседанию, принимая во внимание, что участие </w:t>
      </w:r>
      <w:r>
        <w:rPr>
          <w:lang w:val="en-BE" w:eastAsia="en-BE" w:bidi="ar-SA"/>
        </w:rPr>
        <w:t xml:space="preserve">в судебном заседании является правом, а не обязанностью лица, участвующего в деле,  суд, </w:t>
      </w:r>
      <w:r>
        <w:rPr>
          <w:lang w:val="en-BE" w:eastAsia="en-BE" w:bidi="ar-SA"/>
        </w:rPr>
        <w:lastRenderedPageBreak/>
        <w:t>руководствуясь ст. 165.1 ГК РФ и ст. 167 ГПК РФ, счел возможным рассмотреть дело в отсутствие ответчиков.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проверив и изучив материалы дела, считает исковые требо</w:t>
      </w:r>
      <w:r>
        <w:rPr>
          <w:lang w:val="en-BE" w:eastAsia="en-BE" w:bidi="ar-SA"/>
        </w:rPr>
        <w:t>вания подлежащими удовлетворению.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</w:t>
      </w:r>
      <w:r>
        <w:rPr>
          <w:lang w:val="en-BE" w:eastAsia="en-BE" w:bidi="ar-SA"/>
        </w:rPr>
        <w:t xml:space="preserve"> обязуется возвратить полученную денежную сумму и уплатить проценты на нее.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параграфом 1 главы 42 ГК РФ, если иное не предусмотрено правилами данного параграфа и не вытекает из сущест</w:t>
      </w:r>
      <w:r>
        <w:rPr>
          <w:lang w:val="en-BE" w:eastAsia="en-BE" w:bidi="ar-SA"/>
        </w:rPr>
        <w:t>ва кредитного договора.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Часть 1 ст. 807 ГК РФ устанавливает, что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</w:t>
      </w:r>
      <w:r>
        <w:rPr>
          <w:lang w:val="en-BE" w:eastAsia="en-BE" w:bidi="ar-SA"/>
        </w:rPr>
        <w:t>вцу такую же сумму денег (сумму займа) или равное количество других полученных им вещей того же рода и качества.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810 и ст. 811 ГК РФ заемщик обязан возвратить займодавцу полученную сумму займа в срок и в порядке, которые предусмотрены догов</w:t>
      </w:r>
      <w:r>
        <w:rPr>
          <w:lang w:val="en-BE" w:eastAsia="en-BE" w:bidi="ar-SA"/>
        </w:rPr>
        <w:t>ором займа. При нарушении заемщиком срока, установленного для возврата очередной части займа, займодавец имеет право потребовать досрочного возврата всей оставшейся суммы вместе с причитающимися процентами.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 – 310 ГК РФ, обязат</w:t>
      </w:r>
      <w:r>
        <w:rPr>
          <w:lang w:val="en-BE" w:eastAsia="en-BE" w:bidi="ar-SA"/>
        </w:rPr>
        <w:t>ельства должны исполняться надлежащим образом, односторонний отказ от исполнения обязательств не допускается.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Установлено, что  22.05.2012 года между ПАО Сбербанк России  и </w:t>
      </w: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 был заключен эмиссионный контракт № 0910-Р-580657000 на предоставление возобно</w:t>
      </w:r>
      <w:r>
        <w:rPr>
          <w:lang w:val="en-BE" w:eastAsia="en-BE" w:bidi="ar-SA"/>
        </w:rPr>
        <w:t>вляемой кредитной линии посредством выдачи банковской карты  с предоставленным по ней кредитом и обслуживанием счета по данной карте в российских рублях. Во исполнение заключенного договора истцом ответчику была выдана кредитная карта, условия предоставлен</w:t>
      </w:r>
      <w:r>
        <w:rPr>
          <w:lang w:val="en-BE" w:eastAsia="en-BE" w:bidi="ar-SA"/>
        </w:rPr>
        <w:t>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международной кредитной карты, в соответствии с заключенным договором. Платежи в счет</w:t>
      </w:r>
      <w:r>
        <w:rPr>
          <w:lang w:val="en-BE" w:eastAsia="en-BE" w:bidi="ar-SA"/>
        </w:rPr>
        <w:t xml:space="preserve"> погашения задолженности по кредиту ответчиком производились с нарушениями в части сроков и сумм, обязательных к погашению. По состоянию на 05.08.2020г. задолженность составляет: просроченный долг </w:t>
      </w:r>
      <w:r>
        <w:rPr>
          <w:rStyle w:val="cat-Sumgrp-13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</w:t>
      </w:r>
      <w:r>
        <w:rPr>
          <w:rStyle w:val="cat-Sumgrp-14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</w:t>
      </w:r>
      <w:r>
        <w:rPr>
          <w:rStyle w:val="cat-Sumgrp-15rplc-29"/>
          <w:lang w:val="en-BE" w:eastAsia="en-BE" w:bidi="ar-SA"/>
        </w:rPr>
        <w:t>сумма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07.11.2</w:t>
      </w:r>
      <w:r>
        <w:rPr>
          <w:lang w:val="en-BE" w:eastAsia="en-BE" w:bidi="ar-SA"/>
        </w:rPr>
        <w:t xml:space="preserve">012 г. </w:t>
      </w:r>
      <w:r>
        <w:rPr>
          <w:rStyle w:val="cat-FIOgrp-10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</w:t>
      </w:r>
    </w:p>
    <w:p w:rsidR="00000000" w:rsidRDefault="00B73BD6">
      <w:pPr>
        <w:widowControl w:val="0"/>
        <w:spacing w:line="274" w:lineRule="atLeast"/>
        <w:ind w:left="20" w:right="20"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Вышеприведенный кредитный договор на момент смерти должника не расторгнут, его условия, как в целом, так и в отдельности сторонами в установленном порядке не оспорены, обязательства, вытекающие из данного договора,  носят действительный ха</w:t>
      </w:r>
      <w:r>
        <w:rPr>
          <w:lang w:val="en-BE" w:eastAsia="en-BE" w:bidi="ar-SA"/>
        </w:rPr>
        <w:t xml:space="preserve">рактер. 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наследственного дела № 75034/598/2012 года следует, что наследство после умершего приняли его   супруга Короткова М.В. и сын Коротков А.Н.       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lang w:val="en-BE" w:eastAsia="en-BE" w:bidi="ar-SA"/>
          </w:rPr>
          <w:t>ст. 1112</w:t>
        </w:r>
      </w:hyperlink>
      <w:r>
        <w:rPr>
          <w:lang w:val="en-BE" w:eastAsia="en-BE" w:bidi="ar-SA"/>
        </w:rPr>
        <w:t xml:space="preserve"> Гражданского кодекса Российской Федерации (далее - ГК РФ) в состав наследства входят принадлежавшие наследодателю на день открытия наследства вещи, иное имущество, в том числе имущественные пра</w:t>
      </w:r>
      <w:r>
        <w:rPr>
          <w:lang w:val="en-BE" w:eastAsia="en-BE" w:bidi="ar-SA"/>
        </w:rPr>
        <w:t>ва и обязанности.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6" w:history="1">
        <w:r>
          <w:rPr>
            <w:color w:val="0000EE"/>
            <w:lang w:val="en-BE" w:eastAsia="en-BE" w:bidi="ar-SA"/>
          </w:rPr>
          <w:t>п. 1 ст. 1175</w:t>
        </w:r>
      </w:hyperlink>
      <w:r>
        <w:rPr>
          <w:lang w:val="en-BE" w:eastAsia="en-BE" w:bidi="ar-SA"/>
        </w:rPr>
        <w:t xml:space="preserve"> ГК РФ наследники, принявшие наследство, отвечают по долгам наследодателя со</w:t>
      </w:r>
      <w:r>
        <w:rPr>
          <w:lang w:val="en-BE" w:eastAsia="en-BE" w:bidi="ar-SA"/>
        </w:rPr>
        <w:t>лидарно (</w:t>
      </w:r>
      <w:hyperlink r:id="rId7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РФ). Каждый из наследников отвечает по долгам наследодателя в пределах стоимости перешедшего к нему н</w:t>
      </w:r>
      <w:r>
        <w:rPr>
          <w:lang w:val="en-BE" w:eastAsia="en-BE" w:bidi="ar-SA"/>
        </w:rPr>
        <w:t>аследственного имущества.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разъяснено в </w:t>
      </w:r>
      <w:hyperlink r:id="rId8" w:history="1">
        <w:r>
          <w:rPr>
            <w:color w:val="0000EE"/>
            <w:lang w:val="en-BE" w:eastAsia="en-BE" w:bidi="ar-SA"/>
          </w:rPr>
          <w:t>пункте 14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мая 20</w:t>
      </w:r>
      <w:r>
        <w:rPr>
          <w:lang w:val="en-BE" w:eastAsia="en-BE" w:bidi="ar-SA"/>
        </w:rPr>
        <w:t xml:space="preserve">12 г. N 9 "О судебной практике по делам о наследовании", в состав </w:t>
      </w:r>
      <w:r>
        <w:rPr>
          <w:lang w:val="en-BE" w:eastAsia="en-BE" w:bidi="ar-SA"/>
        </w:rPr>
        <w:lastRenderedPageBreak/>
        <w:t>наследства входит принадлежавшее наследодателю на день открытия наследства имущество, в частности: вещи, включая деньги и ценные бумаги (</w:t>
      </w:r>
      <w:hyperlink r:id="rId9" w:history="1">
        <w:r>
          <w:rPr>
            <w:color w:val="0000EE"/>
            <w:lang w:val="en-BE" w:eastAsia="en-BE" w:bidi="ar-SA"/>
          </w:rPr>
          <w:t>статья 128</w:t>
        </w:r>
      </w:hyperlink>
      <w:r>
        <w:rPr>
          <w:lang w:val="en-BE" w:eastAsia="en-BE" w:bidi="ar-SA"/>
        </w:rPr>
        <w:t xml:space="preserve"> Гражданского кодекса Российской Федерации); имущественные права (в том числе права, вытекающие из договоров, заключенных наследодателем, если иное не предусмотрено законом </w:t>
      </w:r>
      <w:r>
        <w:rPr>
          <w:lang w:val="en-BE" w:eastAsia="en-BE" w:bidi="ar-SA"/>
        </w:rPr>
        <w:t>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</w:t>
      </w:r>
      <w:r>
        <w:rPr>
          <w:lang w:val="en-BE" w:eastAsia="en-BE" w:bidi="ar-SA"/>
        </w:rPr>
        <w:t>имости перешедшего к наследникам наследственного имущества (</w:t>
      </w:r>
      <w:hyperlink r:id="rId10" w:history="1">
        <w:r>
          <w:rPr>
            <w:color w:val="0000EE"/>
            <w:lang w:val="en-BE" w:eastAsia="en-BE" w:bidi="ar-SA"/>
          </w:rPr>
          <w:t>пункт 1 статьи 1175</w:t>
        </w:r>
      </w:hyperlink>
      <w:r>
        <w:rPr>
          <w:lang w:val="en-BE" w:eastAsia="en-BE" w:bidi="ar-SA"/>
        </w:rPr>
        <w:t xml:space="preserve"> Гражданского кодекса Российской Федерации).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содержания указанных норм в их взаимосвязи следует, что не связанные с личностью наследодателя имущественные права и обязанности входят в состав наследства (наследственного имущества). При этом к наследникам одновременно переходят как права на наследств</w:t>
      </w:r>
      <w:r>
        <w:rPr>
          <w:lang w:val="en-BE" w:eastAsia="en-BE" w:bidi="ar-SA"/>
        </w:rPr>
        <w:t>енное имущество, так и обязанности по погашению соответствующих долгов наследодателя, если они имелись на день его смерти. Наследник должника, при условии принятия им наследства, становится должником кредитора наследодателя в пределах стоимости перешедшего</w:t>
      </w:r>
      <w:r>
        <w:rPr>
          <w:lang w:val="en-BE" w:eastAsia="en-BE" w:bidi="ar-SA"/>
        </w:rPr>
        <w:t xml:space="preserve"> к нему наследственного имущества.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наследники Короткова М.В., Коротков А.Н. приняли наследство умершего </w:t>
      </w:r>
      <w:r>
        <w:rPr>
          <w:rStyle w:val="cat-FIOgrp-6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они солидарно в пределах стоимости перешедшего к ним наследственного имущества, отвечают по долгам наследодателя.</w:t>
      </w:r>
    </w:p>
    <w:p w:rsidR="00000000" w:rsidRDefault="00B73BD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Стоимость принятого ими </w:t>
      </w:r>
      <w:r>
        <w:rPr>
          <w:lang w:val="en-BE" w:eastAsia="en-BE" w:bidi="ar-SA"/>
        </w:rPr>
        <w:t xml:space="preserve"> наследства превышает сумму долговых обязательств умершего перед истцом по кредитному договору.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пункте 58 Постановления Пленума Верховного суда  "О судебной практике по делам о наследовании"   разъяснено, что под долгами наследодателя, по которым отвеча</w:t>
      </w:r>
      <w:r>
        <w:rPr>
          <w:lang w:val="en-BE" w:eastAsia="en-BE" w:bidi="ar-SA"/>
        </w:rPr>
        <w:t>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1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Смерть должника не является обстоятельством, влекущим досрочное исполнение его</w:t>
      </w:r>
      <w:r>
        <w:rPr>
          <w:lang w:val="en-BE" w:eastAsia="en-BE" w:bidi="ar-SA"/>
        </w:rPr>
        <w:t xml:space="preserve"> обязательств наследниками. Например,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займа; сумма кредита, предос</w:t>
      </w:r>
      <w:r>
        <w:rPr>
          <w:lang w:val="en-BE" w:eastAsia="en-BE" w:bidi="ar-SA"/>
        </w:rPr>
        <w:t>тавленного наследодателю для личного, 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 уведомления об этом кредитора не менее чем</w:t>
      </w:r>
      <w:r>
        <w:rPr>
          <w:lang w:val="en-BE" w:eastAsia="en-BE" w:bidi="ar-SA"/>
        </w:rPr>
        <w:t xml:space="preserve"> за тридцать дней до дня такого возврата,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</w:t>
      </w:r>
      <w:hyperlink r:id="rId12" w:history="1">
        <w:r>
          <w:rPr>
            <w:color w:val="0000EE"/>
            <w:lang w:val="en-BE" w:eastAsia="en-BE" w:bidi="ar-SA"/>
          </w:rPr>
          <w:t>статьи 810</w:t>
        </w:r>
      </w:hyperlink>
      <w:r>
        <w:rPr>
          <w:lang w:val="en-BE" w:eastAsia="en-BE" w:bidi="ar-SA"/>
        </w:rPr>
        <w:t xml:space="preserve">, </w:t>
      </w:r>
      <w:hyperlink r:id="rId13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РФ).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пункте </w:t>
      </w:r>
      <w:r>
        <w:rPr>
          <w:lang w:val="en-BE" w:eastAsia="en-BE" w:bidi="ar-SA"/>
        </w:rPr>
        <w:t>61 указанного Постановления Пленума Верховного Суда Российской Федерации, разъяснено, что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</w:t>
      </w:r>
      <w:r>
        <w:rPr>
          <w:lang w:val="en-BE" w:eastAsia="en-BE" w:bidi="ar-SA"/>
        </w:rPr>
        <w:t xml:space="preserve">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Проценты, подлежащие уплате в соответствии со </w:t>
      </w:r>
      <w:hyperlink r:id="rId14" w:history="1">
        <w:r>
          <w:rPr>
            <w:color w:val="0000EE"/>
            <w:lang w:val="en-BE" w:eastAsia="en-BE" w:bidi="ar-SA"/>
          </w:rPr>
          <w:t>статьей 395</w:t>
        </w:r>
      </w:hyperlink>
      <w:r>
        <w:rPr>
          <w:lang w:val="en-BE" w:eastAsia="en-BE" w:bidi="ar-SA"/>
        </w:rPr>
        <w:t xml:space="preserve"> Гражданского кодекса Российской Федерации, взимаются за неисполнение денежного обязательства наследодателем по д</w:t>
      </w:r>
      <w:r>
        <w:rPr>
          <w:lang w:val="en-BE" w:eastAsia="en-BE" w:bidi="ar-SA"/>
        </w:rPr>
        <w:t xml:space="preserve">ень открытия наследства, а после открытия наследства за неисполнение денежного обязательства наследником, по смыслу </w:t>
      </w:r>
      <w:hyperlink r:id="rId15" w:history="1">
        <w:r>
          <w:rPr>
            <w:color w:val="0000EE"/>
            <w:lang w:val="en-BE" w:eastAsia="en-BE" w:bidi="ar-SA"/>
          </w:rPr>
          <w:t xml:space="preserve">пункта 1 </w:t>
        </w:r>
        <w:r>
          <w:rPr>
            <w:color w:val="0000EE"/>
            <w:lang w:val="en-BE" w:eastAsia="en-BE" w:bidi="ar-SA"/>
          </w:rPr>
          <w:t>статьи 401</w:t>
        </w:r>
      </w:hyperlink>
      <w:r>
        <w:rPr>
          <w:lang w:val="en-BE" w:eastAsia="en-BE" w:bidi="ar-SA"/>
        </w:rPr>
        <w:t xml:space="preserve"> Гражданского кодекса Российской Федерации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обязанность заемщика по исполнению обязательств, возникающих из кредитного договора, носит имущественный характер, не обусловлена личностью заемщика и не требует его личного участия, то смерть должника не влечет прекращения обязательств по заключ</w:t>
      </w:r>
      <w:r>
        <w:rPr>
          <w:lang w:val="en-BE" w:eastAsia="en-BE" w:bidi="ar-SA"/>
        </w:rPr>
        <w:t>енному им кредитному договору, и наследники, принявшие наследство,   становятся должниками и несут обязанности по их исполнению со дня открытия наследства, в том числе обязанности по возврату денежной суммы, полученной наследодателем, и уплате процентов на</w:t>
      </w:r>
      <w:r>
        <w:rPr>
          <w:lang w:val="en-BE" w:eastAsia="en-BE" w:bidi="ar-SA"/>
        </w:rPr>
        <w:t xml:space="preserve"> нее (процентов за пользование кредитом), поскольку начисление таких процентов было обусловлено кредитным договором.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 суд считает исковые требования подлежащими  удовлетворению в полном объеме. Оснований для отказа в иске судом н</w:t>
      </w:r>
      <w:r>
        <w:rPr>
          <w:lang w:val="en-BE" w:eastAsia="en-BE" w:bidi="ar-SA"/>
        </w:rPr>
        <w:t>е установлено.</w:t>
      </w:r>
    </w:p>
    <w:p w:rsidR="00000000" w:rsidRDefault="00B73BD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 98 ГПК РФ, стороне, в пользу которой состоялось решение суда, суд присуждает возместить с другой стороны все понесенные по делу судебные расходы. Таким образом, с ответчиков в пользу истца надлежит взыскать расходы по </w:t>
      </w:r>
      <w:r>
        <w:rPr>
          <w:lang w:val="en-BE" w:eastAsia="en-BE" w:bidi="ar-SA"/>
        </w:rPr>
        <w:t xml:space="preserve">оплате государственной пошлины в размере </w:t>
      </w:r>
      <w:r>
        <w:rPr>
          <w:rStyle w:val="cat-Sumgrp-12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 ст. 194 – 198 ГПК РФ, суд</w:t>
      </w:r>
    </w:p>
    <w:p w:rsidR="00000000" w:rsidRDefault="00B73BD6">
      <w:pPr>
        <w:jc w:val="center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Исковые требования   ПАО «Сбербанк России» в лице Московского филиала Московского банка Сбербанка ПАО Сбербанк к  Коротковой М</w:t>
      </w:r>
      <w:r>
        <w:rPr>
          <w:lang w:val="en-BE" w:eastAsia="en-BE" w:bidi="ar-SA"/>
        </w:rPr>
        <w:t>арине Вячеславовне, Короткову Александру Николаевичу о взыскании задолженности  – удовлетворить.</w:t>
      </w:r>
    </w:p>
    <w:p w:rsidR="00000000" w:rsidRDefault="00B73BD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Взыскать  солидарно с  Коротковой Марины Вячеславовны, Короткова Александра Николаевича в пользу ПАО «Сбербанк России» в пределах стоимости перешедшего к ним </w:t>
      </w:r>
      <w:r>
        <w:rPr>
          <w:lang w:val="en-BE" w:eastAsia="en-BE" w:bidi="ar-SA"/>
        </w:rPr>
        <w:t xml:space="preserve">наследственного имущества задолженность по кредитному договору в размере </w:t>
      </w:r>
      <w:r>
        <w:rPr>
          <w:rStyle w:val="cat-Sumgrp-11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42"/>
          <w:lang w:val="en-BE" w:eastAsia="en-BE" w:bidi="ar-SA"/>
        </w:rPr>
        <w:t>сумма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путем подачи апелляционной жалобы через Любл</w:t>
      </w:r>
      <w:r>
        <w:rPr>
          <w:lang w:val="en-BE" w:eastAsia="en-BE" w:bidi="ar-SA"/>
        </w:rPr>
        <w:t xml:space="preserve">инский районный суд </w:t>
      </w:r>
      <w:r>
        <w:rPr>
          <w:rStyle w:val="cat-Addressgrp-0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со дня принятия решения суда в окончательной форме.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Максимовских Н.Ю.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Решение в окончательной форме принято 08 сентября 2021 г.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p w:rsidR="00000000" w:rsidRDefault="00B73BD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B73BD6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BD6"/>
    <w:rsid w:val="00B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D2AB5F2-DC37-44D7-AC3A-36EBE0C7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rplc-2">
    <w:name w:val="cat-FIO grp-1 rplc-2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1rplc-14">
    <w:name w:val="cat-FIO grp-1 rplc-14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9rplc-20">
    <w:name w:val="cat-FIO grp-9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Sumgrp-13rplc-27">
    <w:name w:val="cat-Sum grp-13 rplc-27"/>
    <w:basedOn w:val="a0"/>
  </w:style>
  <w:style w:type="character" w:customStyle="1" w:styleId="cat-Sumgrp-14rplc-28">
    <w:name w:val="cat-Sum grp-14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FIOgrp-10rplc-30">
    <w:name w:val="cat-FIO grp-10 rplc-30"/>
    <w:basedOn w:val="a0"/>
  </w:style>
  <w:style w:type="character" w:customStyle="1" w:styleId="cat-FIOgrp-6rplc-35">
    <w:name w:val="cat-FIO grp-6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Sumgrp-11rplc-41">
    <w:name w:val="cat-Sum grp-11 rplc-41"/>
    <w:basedOn w:val="a0"/>
  </w:style>
  <w:style w:type="character" w:customStyle="1" w:styleId="cat-Sumgrp-12rplc-42">
    <w:name w:val="cat-Sum grp-12 rplc-42"/>
    <w:basedOn w:val="a0"/>
  </w:style>
  <w:style w:type="character" w:customStyle="1" w:styleId="cat-Addressgrp-0rplc-43">
    <w:name w:val="cat-Address grp-0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73E9C0FE4566CCB08C7E9F399B16FA86FCA7A67A9E589A2343E386118A112E99C8C6DAFC5FECE47K8w6O" TargetMode="External"/><Relationship Id="rId13" Type="http://schemas.openxmlformats.org/officeDocument/2006/relationships/hyperlink" Target="consultantplus://offline/ref=496BB9C6FD69AE9BEF4505E445F5283C53A8B84522E6B2A70C411D5757A3D303E0F6480881BB9E77jBoA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D1ECFCADAFFEB7D47DA1280F007DFD980EE81EB000A87C1031AAB9304C0867B6093CD7B11692C14oEvCN" TargetMode="External"/><Relationship Id="rId12" Type="http://schemas.openxmlformats.org/officeDocument/2006/relationships/hyperlink" Target="consultantplus://offline/ref=496BB9C6FD69AE9BEF4505E445F5283C53A8B84522E6B2A70C411D5757A3D303E0F6480881BB9E7AjBoD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D1ECFCADAFFEB7D47DA1280F007DFD980EE86E3000C87C1031AAB9304C0867B6093CD7B11682A17oEv4N" TargetMode="External"/><Relationship Id="rId11" Type="http://schemas.openxmlformats.org/officeDocument/2006/relationships/hyperlink" Target="consultantplus://offline/ref=496BB9C6FD69AE9BEF4505E445F5283C53A8B84521E2B2A70C411D5757A3D303E0F6480881BB9378jBoBH" TargetMode="External"/><Relationship Id="rId5" Type="http://schemas.openxmlformats.org/officeDocument/2006/relationships/hyperlink" Target="consultantplus://offline/ref=BD1ECFCADAFFEB7D47DA1280F007DFD980EE86E3000C87C1031AAB9304C0867B6093CD7B11682912oEv0N" TargetMode="External"/><Relationship Id="rId15" Type="http://schemas.openxmlformats.org/officeDocument/2006/relationships/hyperlink" Target="consultantplus://offline/ref=496BB9C6FD69AE9BEF4505E445F5283C53A8B84521E2B2A70C411D5757A3D303E0F6480881BB937EjBo5H" TargetMode="External"/><Relationship Id="rId10" Type="http://schemas.openxmlformats.org/officeDocument/2006/relationships/hyperlink" Target="consultantplus://offline/ref=F73E9C0FE4566CCB08C7E9F399B16FA86FCD7267ADEE89A2343E386118A112E99C8C6DAFC5FECD40K8w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73E9C0FE4566CCB08C7E9F399B16FA86FC07962A9E189A2343E386118A112E99C8C6DABC0KFwAO" TargetMode="External"/><Relationship Id="rId14" Type="http://schemas.openxmlformats.org/officeDocument/2006/relationships/hyperlink" Target="consultantplus://offline/ref=496BB9C6FD69AE9BEF4505E445F5283C53A8B84521E2B2A70C411D5757A3D303E0F6480881BB9276jBoB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2242</Words>
  <Characters>12780</Characters>
  <Application>Microsoft Office Word</Application>
  <DocSecurity>0</DocSecurity>
  <Lines>106</Lines>
  <Paragraphs>29</Paragraphs>
  <ScaleCrop>false</ScaleCrop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