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7731F1">
      <w:pPr>
        <w:ind w:firstLine="90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УИД 77RS0028-02-2023-003126-81 </w:t>
      </w:r>
    </w:p>
    <w:p w:rsidR="00000000" w:rsidRDefault="007731F1">
      <w:pPr>
        <w:ind w:firstLine="907"/>
        <w:jc w:val="right"/>
        <w:rPr>
          <w:lang w:val="en-BE" w:eastAsia="en-BE" w:bidi="ar-SA"/>
        </w:rPr>
      </w:pPr>
    </w:p>
    <w:p w:rsidR="00000000" w:rsidRDefault="007731F1">
      <w:pPr>
        <w:ind w:firstLine="907"/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2-3068/2023</w:t>
      </w:r>
    </w:p>
    <w:p w:rsidR="00000000" w:rsidRDefault="007731F1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7731F1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7731F1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«05» июня 2023 года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7731F1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Тимирязевского районного суда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Макляк М.А., при секретаре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</w:t>
      </w:r>
      <w:r>
        <w:rPr>
          <w:lang w:val="en-BE" w:eastAsia="en-BE" w:bidi="ar-SA"/>
        </w:rPr>
        <w:t xml:space="preserve"> судебном заседании гражданское дело №2-3068/2023  по иску ПАО Сбербанк в лице филиала – Московского банка ПАО Сбербанк к Ружейниковой Елене Борисовне о взыскании ссудной задолженности по эмиссионному контракту, руководствуясь ст.ст.194-198 ГПК РФ,</w:t>
      </w:r>
    </w:p>
    <w:p w:rsidR="00000000" w:rsidRDefault="007731F1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7731F1">
      <w:pPr>
        <w:ind w:firstLine="907"/>
        <w:jc w:val="center"/>
        <w:rPr>
          <w:lang w:val="en-BE" w:eastAsia="en-BE" w:bidi="ar-SA"/>
        </w:rPr>
      </w:pPr>
    </w:p>
    <w:p w:rsidR="00000000" w:rsidRDefault="007731F1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Московского банка ПАО Сбербанк к Ружейниковой Елене Борисовне о взыскании ссудной задолженности по эмиссионному контракту – удовлетворить.</w:t>
      </w:r>
    </w:p>
    <w:p w:rsidR="00000000" w:rsidRDefault="007731F1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Ружейниковой Елены Борисовны в пользу ПАО Сбербанк в лиц</w:t>
      </w:r>
      <w:r>
        <w:rPr>
          <w:lang w:val="en-BE" w:eastAsia="en-BE" w:bidi="ar-SA"/>
        </w:rPr>
        <w:t xml:space="preserve">е филиала – Московского банка ПАО Сбербанк задолженность по эмиссионному контракту №0910-Р-11957033920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взыскать </w:t>
      </w:r>
      <w:r>
        <w:rPr>
          <w:rStyle w:val="cat-Sumgrp-12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  <w:r>
        <w:rPr>
          <w:rStyle w:val="cat-Sumgrp-13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7731F1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</w:t>
      </w:r>
      <w:r>
        <w:rPr>
          <w:lang w:val="en-BE" w:eastAsia="en-BE" w:bidi="ar-SA"/>
        </w:rPr>
        <w:t xml:space="preserve">ковский городской суд в течение одного месяца со дня принятия решения суда в окончательной форме, путем подачи апелляционной жалобы через Тимирязевский районный суд </w:t>
      </w:r>
      <w:r>
        <w:rPr>
          <w:rStyle w:val="cat-Addressgrp-0rplc-11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М.А. Макляк</w:t>
      </w: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ind w:firstLine="907"/>
        <w:jc w:val="right"/>
        <w:rPr>
          <w:lang w:val="en-BE" w:eastAsia="en-BE" w:bidi="ar-SA"/>
        </w:rPr>
      </w:pPr>
      <w:r>
        <w:rPr>
          <w:lang w:val="en-BE" w:eastAsia="en-BE" w:bidi="ar-SA"/>
        </w:rPr>
        <w:t xml:space="preserve">УИД 77RS0028-02-2023-003126-81 </w:t>
      </w:r>
    </w:p>
    <w:p w:rsidR="00000000" w:rsidRDefault="007731F1">
      <w:pPr>
        <w:ind w:firstLine="907"/>
        <w:jc w:val="right"/>
        <w:rPr>
          <w:lang w:val="en-BE" w:eastAsia="en-BE" w:bidi="ar-SA"/>
        </w:rPr>
      </w:pPr>
    </w:p>
    <w:p w:rsidR="00000000" w:rsidRDefault="007731F1">
      <w:pPr>
        <w:ind w:firstLine="907"/>
        <w:jc w:val="right"/>
        <w:rPr>
          <w:lang w:val="en-BE" w:eastAsia="en-BE" w:bidi="ar-SA"/>
        </w:rPr>
      </w:pPr>
      <w:r>
        <w:rPr>
          <w:lang w:val="en-BE" w:eastAsia="en-BE" w:bidi="ar-SA"/>
        </w:rPr>
        <w:t>Дело № 2-3068/2023</w:t>
      </w:r>
    </w:p>
    <w:p w:rsidR="00000000" w:rsidRDefault="007731F1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РЕШЕНИЕ</w:t>
      </w:r>
    </w:p>
    <w:p w:rsidR="00000000" w:rsidRDefault="007731F1">
      <w:pPr>
        <w:ind w:firstLine="907"/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7731F1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«05» июня 2023 года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</w:t>
      </w:r>
      <w:r>
        <w:rPr>
          <w:rStyle w:val="cat-Addressgrp-0rplc-13"/>
          <w:lang w:val="en-BE" w:eastAsia="en-BE" w:bidi="ar-SA"/>
        </w:rPr>
        <w:t>адрес</w:t>
      </w:r>
    </w:p>
    <w:p w:rsidR="00000000" w:rsidRDefault="007731F1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Тимирязевского районного суда </w:t>
      </w:r>
      <w:r>
        <w:rPr>
          <w:rStyle w:val="cat-Addressgrp-0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Макляк М.А., при секретаре </w:t>
      </w:r>
      <w:r>
        <w:rPr>
          <w:rStyle w:val="cat-FIOgrp-6rplc-16"/>
          <w:lang w:val="en-BE" w:eastAsia="en-BE" w:bidi="ar-SA"/>
        </w:rPr>
        <w:t>фио</w:t>
      </w:r>
      <w:r>
        <w:rPr>
          <w:lang w:val="en-BE" w:eastAsia="en-BE" w:bidi="ar-SA"/>
        </w:rPr>
        <w:t>, расс</w:t>
      </w:r>
      <w:r>
        <w:rPr>
          <w:lang w:val="en-BE" w:eastAsia="en-BE" w:bidi="ar-SA"/>
        </w:rPr>
        <w:t>мотрев в открытом судебном заседании гражданское дело №2-3068/2023  по иску ПАО Сбербанк в лице филиала – Московского банка ПАО Сбербанк к Ружейниковой Елене Борисовне о взыскании ссудной задолженности по эмиссионному контракту,</w:t>
      </w:r>
    </w:p>
    <w:p w:rsidR="00000000" w:rsidRDefault="007731F1">
      <w:pPr>
        <w:rPr>
          <w:lang w:val="en-BE" w:eastAsia="en-BE" w:bidi="ar-SA"/>
        </w:rPr>
      </w:pPr>
    </w:p>
    <w:p w:rsidR="00000000" w:rsidRDefault="007731F1">
      <w:pPr>
        <w:ind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7731F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Сберб</w:t>
      </w:r>
      <w:r>
        <w:rPr>
          <w:lang w:val="en-BE" w:eastAsia="en-BE" w:bidi="ar-SA"/>
        </w:rPr>
        <w:t xml:space="preserve">анк в лице филиала – Московского банка ПАО Сбербанк обратился в суд с иском к ответчику Ружейниковой Е.Б. и просит взыскать  задолженность по эмиссионному контракту №0910-Р-11957033920 в размере </w:t>
      </w:r>
      <w:r>
        <w:rPr>
          <w:rStyle w:val="cat-Sumgrp-10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11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</w:t>
      </w:r>
      <w:r>
        <w:rPr>
          <w:lang w:val="en-BE" w:eastAsia="en-BE" w:bidi="ar-SA"/>
        </w:rPr>
        <w:t xml:space="preserve">взыскать </w:t>
      </w:r>
      <w:r>
        <w:rPr>
          <w:rStyle w:val="cat-Sumgrp-12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  <w:r>
        <w:rPr>
          <w:rStyle w:val="cat-Sumgrp-13rplc-22"/>
          <w:lang w:val="en-BE" w:eastAsia="en-BE" w:bidi="ar-SA"/>
        </w:rPr>
        <w:t>сумма</w:t>
      </w:r>
    </w:p>
    <w:p w:rsidR="00000000" w:rsidRDefault="007731F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Заявленные требования мотивированы тем, что 16.10.2018 года ПАО Сбербанк  и Ружейникова Е.Б. заключили эмиссионный контракт № 0910-Р-1 на предоставление возобновляемой кредитной линии посредством выдачи кредитной карты Банка с предост</w:t>
      </w:r>
      <w:r>
        <w:rPr>
          <w:lang w:val="en-BE" w:eastAsia="en-BE" w:bidi="ar-SA"/>
        </w:rPr>
        <w:t>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Заемщиком заявления на получение кредитной карты, подписания Индивидуальных условий выпуска и обсл</w:t>
      </w:r>
      <w:r>
        <w:rPr>
          <w:lang w:val="en-BE" w:eastAsia="en-BE" w:bidi="ar-SA"/>
        </w:rPr>
        <w:t>уживания кредитной карты ПАО Сбербанк, ознакомления его с Общими условиями выпуска и обслуживания кредитной карты ПАО Сбербанк, тарифами Банка  и памяткой держателя международных банковских карт. Данный договор, по своему существу, является договором присо</w:t>
      </w:r>
      <w:r>
        <w:rPr>
          <w:lang w:val="en-BE" w:eastAsia="en-BE" w:bidi="ar-SA"/>
        </w:rPr>
        <w:t>единения, основные положения которого в одностороннем порядке сформулированы Банком в Общих условиях. Возможность заключения такого договора предусмотрена статьей 428 Гражданского кодекса Российской Федерации. Во исполнение заключённого договора Подразделе</w:t>
      </w:r>
      <w:r>
        <w:rPr>
          <w:lang w:val="en-BE" w:eastAsia="en-BE" w:bidi="ar-SA"/>
        </w:rPr>
        <w:t>нием Банка Заемщику была выдана кредитная карта, условия предоставления и возврата которой изложены в Общих условиях, информации о полной стоимости кредита, указанной в Индивидуальных условиях, и в Тарифах Банка. Также Заемщику был открыт счёт для отражени</w:t>
      </w:r>
      <w:r>
        <w:rPr>
          <w:lang w:val="en-BE" w:eastAsia="en-BE" w:bidi="ar-SA"/>
        </w:rPr>
        <w:t>я операций, совершаемых с использованием карты. В соответствии с п. 2 Условий Подразделение Банка - это подразделение ПАО Сбербанк, осуществляющие выпуск и обслуживание физических лиц по кредитным картам. Перечень Подразделений Банка размещен на Официально</w:t>
      </w:r>
      <w:r>
        <w:rPr>
          <w:lang w:val="en-BE" w:eastAsia="en-BE" w:bidi="ar-SA"/>
        </w:rPr>
        <w:t>м сайте Банка www.sberbank.ru. В соответствии с Общими условиями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</w:t>
      </w:r>
      <w:r>
        <w:rPr>
          <w:lang w:val="en-BE" w:eastAsia="en-BE" w:bidi="ar-SA"/>
        </w:rPr>
        <w:t>о карте предоставляется Ответчику в размере кредитного лимита под 23.9%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</w:t>
      </w:r>
      <w:r>
        <w:rPr>
          <w:lang w:val="en-BE" w:eastAsia="en-BE" w:bidi="ar-SA"/>
        </w:rPr>
        <w:t>атежей за пользование кредитными средствами, в том числе сумм обязательных платежей по карте. 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</w:t>
      </w:r>
      <w:r>
        <w:rPr>
          <w:lang w:val="en-BE" w:eastAsia="en-BE" w:bidi="ar-SA"/>
        </w:rPr>
        <w:t xml:space="preserve">лностью (оплата суммы общей задолженности) в соответствии с информацией, указанной в отчете. Индивидуальными условиями предусмотрено, что за несвоевременное погашение обязательного платежа взимается неустойка в соответствии с Тарифами Банка. Сумма </w:t>
      </w:r>
      <w:r>
        <w:rPr>
          <w:lang w:val="en-BE" w:eastAsia="en-BE" w:bidi="ar-SA"/>
        </w:rPr>
        <w:lastRenderedPageBreak/>
        <w:t>неустойк</w:t>
      </w:r>
      <w:r>
        <w:rPr>
          <w:lang w:val="en-BE" w:eastAsia="en-BE" w:bidi="ar-SA"/>
        </w:rPr>
        <w:t>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</w:t>
      </w:r>
      <w:r>
        <w:rPr>
          <w:lang w:val="en-BE" w:eastAsia="en-BE" w:bidi="ar-SA"/>
        </w:rPr>
        <w:t>ого долга в полном объеме. Платежи в счет погашения задолженности по кредиту Ответчиком производились с нарушениями в части сроков и сумм, обязательных к погашению. В связи с изложенным, за Ответчиком по состоянию на 21.03.2023 образовалась просроченная за</w:t>
      </w:r>
      <w:r>
        <w:rPr>
          <w:lang w:val="en-BE" w:eastAsia="en-BE" w:bidi="ar-SA"/>
        </w:rPr>
        <w:t xml:space="preserve">долженность согласно расчету цены иска: - просроченные проценты -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 — 59 920,3 </w:t>
      </w:r>
      <w:r>
        <w:rPr>
          <w:rStyle w:val="cat-Sumgrp-15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Ответчику было направлено письмо (прилагается) с требованием о досрочном возврате суммы кредита, процентов за пользование кредитом и уплат</w:t>
      </w:r>
      <w:r>
        <w:rPr>
          <w:lang w:val="en-BE" w:eastAsia="en-BE" w:bidi="ar-SA"/>
        </w:rPr>
        <w:t>е неустойки. Данное требование до настоящего момента не выполнено.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Сбербанк в судебное заседание не явился, о времени и месте рассмотрения дела извещался надлежащим образом. В</w:t>
      </w:r>
      <w:r>
        <w:rPr>
          <w:lang w:val="en-BE" w:eastAsia="en-BE" w:bidi="ar-SA"/>
        </w:rPr>
        <w:t xml:space="preserve"> иске имеется просьба о рассмотрении дела в отсутствии истца.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Ружейникова Е.Б. в судебное заседание не явилась, о времени и месте рассмотрения дела извещалась надлежащим образом.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руководствуясь ст. 167 ГПК во взаимосвязи со ст. 165.1 ГК РФ сч</w:t>
      </w:r>
      <w:r>
        <w:rPr>
          <w:lang w:val="en-BE" w:eastAsia="en-BE" w:bidi="ar-SA"/>
        </w:rPr>
        <w:t>ел возможным рассмотреть дело в отсутствие сторон.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письменные материалы дела, приходит к выводу, что исковые требования подлежат удовлетворению по следующим основаниям: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309 ГК РФ обязательства должны исполняться надлеж</w:t>
      </w:r>
      <w:r>
        <w:rPr>
          <w:lang w:val="en-BE" w:eastAsia="en-BE" w:bidi="ar-SA"/>
        </w:rPr>
        <w:t>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310 ГК РФ </w:t>
      </w:r>
      <w:r>
        <w:rPr>
          <w:lang w:val="en-BE" w:eastAsia="en-BE" w:bidi="ar-SA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 1 ст. 319 ГК РФ за пользование чужими денежными средствами вследствие их неправомерного удерж</w:t>
      </w:r>
      <w:r>
        <w:rPr>
          <w:lang w:val="en-BE" w:eastAsia="en-BE" w:bidi="ar-SA"/>
        </w:rPr>
        <w:t>ания, уклонения от их возврата, иной просрочки в их уплате либо неосновательного получения или сбережения за счет другого лица подлежат уплате проценты на сумму этих средств.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330 ГК РФ, неустойкой (штрафом, пеней) признается определен</w:t>
      </w:r>
      <w:r>
        <w:rPr>
          <w:lang w:val="en-BE" w:eastAsia="en-BE" w:bidi="ar-SA"/>
        </w:rPr>
        <w:t>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</w:t>
      </w:r>
      <w:r>
        <w:rPr>
          <w:lang w:val="en-BE" w:eastAsia="en-BE" w:bidi="ar-SA"/>
        </w:rPr>
        <w:t xml:space="preserve"> причинение ему убытков.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п. 2 ст. 450 ГК РФ по требованию одной из сторон договор может быть изменен или расторгнут по решению суда только: 1) при существенном нарушении договора другой стороной; 2) в иных случаях, предусмотренных настоящим </w:t>
      </w:r>
      <w:r>
        <w:rPr>
          <w:lang w:val="en-BE" w:eastAsia="en-BE" w:bidi="ar-SA"/>
        </w:rPr>
        <w:t>Кодексом, другими законами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</w:t>
      </w:r>
      <w:r>
        <w:rPr>
          <w:lang w:val="en-BE" w:eastAsia="en-BE" w:bidi="ar-SA"/>
        </w:rPr>
        <w:t>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810 ГК РФ заемщик обязан возвратить за</w:t>
      </w:r>
      <w:r>
        <w:rPr>
          <w:lang w:val="en-BE" w:eastAsia="en-BE" w:bidi="ar-SA"/>
        </w:rPr>
        <w:t>ймодавцу полученную сумму займа в срок и в порядке, которые предусмотрены договором займа.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силу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</w:t>
      </w:r>
      <w:r>
        <w:rPr>
          <w:lang w:val="en-BE" w:eastAsia="en-BE" w:bidi="ar-SA"/>
        </w:rPr>
        <w:t>условиях, предусмотренных договором, а заемщик обязуется возвратить полученную денежную сумму и уплатить проценты на нее.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16.10.2018 между истцом и ответчиком заключен эмиссионный контракт №0910-Р-11957033920</w:t>
      </w:r>
      <w:r>
        <w:rPr>
          <w:rFonts w:ascii="Courier New" w:eastAsia="Courier New" w:hAnsi="Courier New" w:cs="Courier New"/>
          <w:lang w:val="en-BE" w:eastAsia="en-BE" w:bidi="ar-SA"/>
        </w:rPr>
        <w:t xml:space="preserve"> </w:t>
      </w:r>
      <w:r>
        <w:rPr>
          <w:lang w:val="en-BE" w:eastAsia="en-BE" w:bidi="ar-SA"/>
        </w:rPr>
        <w:t>на предоставление возобн</w:t>
      </w:r>
      <w:r>
        <w:rPr>
          <w:lang w:val="en-BE" w:eastAsia="en-BE" w:bidi="ar-SA"/>
        </w:rPr>
        <w:t xml:space="preserve">овляемой кредитной линии посредством выдачи кредитной карты банка с предоставлением по ней кредитом и обслуживанием счета по данной карте в российских рублях. 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Заемщиком заявления на</w:t>
      </w:r>
      <w:r>
        <w:rPr>
          <w:lang w:val="en-BE" w:eastAsia="en-BE" w:bidi="ar-SA"/>
        </w:rPr>
        <w:t xml:space="preserve"> получение кредитной карты и ознакомления его с Условиями выпуска и обслуживания кредитной карты ПАО Сбербанк, тарифами Банка и памяткой держателя международных банковских карт. 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договор, по своему существу, является договором присоединения, основны</w:t>
      </w:r>
      <w:r>
        <w:rPr>
          <w:lang w:val="en-BE" w:eastAsia="en-BE" w:bidi="ar-SA"/>
        </w:rPr>
        <w:t>е положения которого в одностороннем порядке сформулированы Банком в Условиях. В соответствии с п. 2 Условий подразделение Банка - это подразделение ПАО Сбербанк, осуществляющие выпуск и обслуживание физических лиц по кредитным картам. Перечень подразделен</w:t>
      </w:r>
      <w:r>
        <w:rPr>
          <w:lang w:val="en-BE" w:eastAsia="en-BE" w:bidi="ar-SA"/>
        </w:rPr>
        <w:t>ий Банка размещен на официальном сайте Банка www.sberbank.ru. В соответствии с Общими условиями операции по карте, оплачиваются за счет кредита, предоставляемого Банком ответчику на условиях "до востребования", с одновременным уменьшением доступного лимита</w:t>
      </w:r>
      <w:r>
        <w:rPr>
          <w:lang w:val="en-BE" w:eastAsia="en-BE" w:bidi="ar-SA"/>
        </w:rPr>
        <w:t xml:space="preserve"> кредита. 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 по карте предоставляется ответчику в размере кредитного лимита под 23,9%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</w:t>
      </w:r>
      <w:r>
        <w:rPr>
          <w:lang w:val="en-BE" w:eastAsia="en-BE" w:bidi="ar-SA"/>
        </w:rPr>
        <w:t xml:space="preserve"> карте операций, платежей за пользование кредитными средствами, в том числе сумм обязательных платежей по карте. 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</w:t>
      </w:r>
      <w:r>
        <w:rPr>
          <w:lang w:val="en-BE" w:eastAsia="en-BE" w:bidi="ar-SA"/>
        </w:rPr>
        <w:t xml:space="preserve">латежа) или полностью (оплата суммы общей задолженности) в соответствии с информацией, указанной в отчете. Условиями предусмотрено, что за несвоевременное погашение обязательного платежа взимается неустойка в соответствии с Тарифами Банка. Сумма неустойки </w:t>
      </w:r>
      <w:r>
        <w:rPr>
          <w:lang w:val="en-BE" w:eastAsia="en-BE" w:bidi="ar-SA"/>
        </w:rPr>
        <w:t>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</w:t>
      </w:r>
      <w:r>
        <w:rPr>
          <w:lang w:val="en-BE" w:eastAsia="en-BE" w:bidi="ar-SA"/>
        </w:rPr>
        <w:t xml:space="preserve">о долга в полном объеме. 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Условиями, в случае неисполнения или ненадлежащего исполнения ответчиком условий заключенного договора, Банк имеет право досрочно потребовать оплаты общей суммы задолженности по карте, а ответчик обязуется досрочн</w:t>
      </w:r>
      <w:r>
        <w:rPr>
          <w:lang w:val="en-BE" w:eastAsia="en-BE" w:bidi="ar-SA"/>
        </w:rPr>
        <w:t xml:space="preserve">о ее погасить. Платежи в счет погашения задолженности по кредиту ответчиком производились с нарушениями в части сроков и сумм, обязательных к погашению. 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56 ГПК РФ, каждая сторона должна доказать те обстоятельства, на которые она ссылается как н</w:t>
      </w:r>
      <w:r>
        <w:rPr>
          <w:lang w:val="en-BE" w:eastAsia="en-BE" w:bidi="ar-SA"/>
        </w:rPr>
        <w:t>а основания своих требований и возражений, если иное не предусмотрено федеральным законом.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21.03.2023 по эмиссионному контракту образовалась задолженность в размере </w:t>
      </w:r>
      <w:r>
        <w:rPr>
          <w:rStyle w:val="cat-Sumgrp-10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 задолженность по основному долгу составляет </w:t>
      </w:r>
      <w:r>
        <w:rPr>
          <w:rStyle w:val="cat-Sumgrp-16rplc-28"/>
          <w:lang w:val="en-BE" w:eastAsia="en-BE" w:bidi="ar-SA"/>
        </w:rPr>
        <w:t>сумма</w:t>
      </w:r>
      <w:r>
        <w:rPr>
          <w:lang w:val="en-BE" w:eastAsia="en-BE" w:bidi="ar-SA"/>
        </w:rPr>
        <w:t>, задолж</w:t>
      </w:r>
      <w:r>
        <w:rPr>
          <w:lang w:val="en-BE" w:eastAsia="en-BE" w:bidi="ar-SA"/>
        </w:rPr>
        <w:t xml:space="preserve">енность по процентам в размере </w:t>
      </w:r>
      <w:r>
        <w:rPr>
          <w:rStyle w:val="cat-Sumgrp-17rplc-29"/>
          <w:lang w:val="en-BE" w:eastAsia="en-BE" w:bidi="ar-SA"/>
        </w:rPr>
        <w:t>сумма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истцом расчет проверен судом, оснований не согласиться с ним не имеется, расчет задолженности является обоснованным.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собранные доказательства по делу в их совокупности, суд приходит к выводу об удо</w:t>
      </w:r>
      <w:r>
        <w:rPr>
          <w:lang w:val="en-BE" w:eastAsia="en-BE" w:bidi="ar-SA"/>
        </w:rPr>
        <w:t xml:space="preserve">влетворении исковых требований о взыскании задолженности, в связи с чем, с ответчика подлежит взысканию задолженность по эмиссионному контракту в сумме </w:t>
      </w:r>
      <w:r>
        <w:rPr>
          <w:rStyle w:val="cat-Sumgrp-10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 стороне, в пользу которой состоялось решение суда, суд присуж</w:t>
      </w:r>
      <w:r>
        <w:rPr>
          <w:lang w:val="en-BE" w:eastAsia="en-BE" w:bidi="ar-SA"/>
        </w:rPr>
        <w:t>дает возместить с другой стороны все понесенные по делу судебные расходы, за исключением случаев, предусмотренных ч. 2 ст. 96 ГПК РФ.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исковые требования ПАО «Сбербанк России» в лице филиала - Московского банка ПАО Сбербанк по взысканию с Руже</w:t>
      </w:r>
      <w:r>
        <w:rPr>
          <w:lang w:val="en-BE" w:eastAsia="en-BE" w:bidi="ar-SA"/>
        </w:rPr>
        <w:t>йниковой Е.Б.</w:t>
      </w:r>
      <w:r>
        <w:rPr>
          <w:rFonts w:ascii="Courier New" w:eastAsia="Courier New" w:hAnsi="Courier New" w:cs="Courier New"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задолженности удовлетворены, с ответчика подлежит взысканию государственная пошлина, уплаченная истцом при подаче в суд искового заявления в размере </w:t>
      </w:r>
      <w:r>
        <w:rPr>
          <w:rStyle w:val="cat-Sumgrp-11rplc-32"/>
          <w:lang w:val="en-BE" w:eastAsia="en-BE" w:bidi="ar-SA"/>
        </w:rPr>
        <w:t>сумма</w:t>
      </w:r>
    </w:p>
    <w:p w:rsidR="00000000" w:rsidRDefault="007731F1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194 - 198 ГПК РФ, суд</w:t>
      </w:r>
    </w:p>
    <w:p w:rsidR="00000000" w:rsidRDefault="007731F1">
      <w:pPr>
        <w:ind w:firstLine="540"/>
        <w:jc w:val="both"/>
        <w:rPr>
          <w:sz w:val="20"/>
          <w:szCs w:val="20"/>
          <w:lang w:val="en-BE" w:eastAsia="en-BE" w:bidi="ar-SA"/>
        </w:rPr>
      </w:pPr>
    </w:p>
    <w:p w:rsidR="00000000" w:rsidRDefault="007731F1">
      <w:pPr>
        <w:ind w:firstLine="708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7731F1">
      <w:pPr>
        <w:ind w:firstLine="708"/>
        <w:jc w:val="center"/>
        <w:rPr>
          <w:lang w:val="en-BE" w:eastAsia="en-BE" w:bidi="ar-SA"/>
        </w:rPr>
      </w:pPr>
    </w:p>
    <w:p w:rsidR="00000000" w:rsidRDefault="007731F1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</w:t>
      </w:r>
      <w:r>
        <w:rPr>
          <w:lang w:val="en-BE" w:eastAsia="en-BE" w:bidi="ar-SA"/>
        </w:rPr>
        <w:t xml:space="preserve"> требования ПАО Сбербанк в лице филиала – Московского банка ПАО Сбербанк к Ружейниковой Елене Борисовне о взыскании ссудной задолженности по эмиссионному контракту – удовлетворить.</w:t>
      </w:r>
    </w:p>
    <w:p w:rsidR="00000000" w:rsidRDefault="007731F1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Ружейниковой Елены Борисовны в пользу ПАО Сбербанк в лице филиал</w:t>
      </w:r>
      <w:r>
        <w:rPr>
          <w:lang w:val="en-BE" w:eastAsia="en-BE" w:bidi="ar-SA"/>
        </w:rPr>
        <w:t xml:space="preserve">а – Московского банка ПАО Сбербанк задолженность по эмиссионному контракту №0910-Р-11957033920 в размере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госпошлины в размере </w:t>
      </w:r>
      <w:r>
        <w:rPr>
          <w:rStyle w:val="cat-Sumgrp-11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взыскать </w:t>
      </w:r>
      <w:r>
        <w:rPr>
          <w:rStyle w:val="cat-Sumgrp-12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  <w:r>
        <w:rPr>
          <w:rStyle w:val="cat-Sumgrp-13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  </w:t>
      </w:r>
    </w:p>
    <w:p w:rsidR="00000000" w:rsidRDefault="007731F1">
      <w:pPr>
        <w:ind w:firstLine="436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апелляционном порядке в Московски</w:t>
      </w:r>
      <w:r>
        <w:rPr>
          <w:lang w:val="en-BE" w:eastAsia="en-BE" w:bidi="ar-SA"/>
        </w:rPr>
        <w:t xml:space="preserve">й городской суд в течение одного месяца со дня принятия решения суда в окончательной форме, путем подачи апелляционной жалобы через Тимирязевский районный суд </w:t>
      </w:r>
      <w:r>
        <w:rPr>
          <w:rStyle w:val="cat-Addressgrp-0rplc-39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     М.А. Макляк</w:t>
      </w:r>
    </w:p>
    <w:p w:rsidR="00000000" w:rsidRDefault="007731F1">
      <w:pPr>
        <w:ind w:firstLine="436"/>
        <w:jc w:val="both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</w:p>
    <w:p w:rsidR="00000000" w:rsidRDefault="007731F1">
      <w:pPr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  <w:r>
        <w:rPr>
          <w:lang w:val="en-BE" w:eastAsia="en-BE" w:bidi="ar-SA"/>
        </w:rPr>
        <w:t>Мотивирован</w:t>
      </w:r>
      <w:r>
        <w:rPr>
          <w:lang w:val="en-BE" w:eastAsia="en-BE" w:bidi="ar-SA"/>
        </w:rPr>
        <w:t>ное решение изготовлено 25 июля 2023 года.</w:t>
      </w: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ind w:firstLine="708"/>
        <w:rPr>
          <w:lang w:val="en-BE" w:eastAsia="en-BE" w:bidi="ar-SA"/>
        </w:rPr>
      </w:pPr>
    </w:p>
    <w:p w:rsidR="00000000" w:rsidRDefault="007731F1">
      <w:pPr>
        <w:rPr>
          <w:lang w:val="en-BE" w:eastAsia="en-BE" w:bidi="ar-SA"/>
        </w:rPr>
      </w:pPr>
    </w:p>
    <w:tbl>
      <w:tblPr>
        <w:tblpPr w:leftFromText="180" w:rightFromText="180" w:vertAnchor="text" w:tblpY="1"/>
        <w:tblOverlap w:val="never"/>
        <w:tblW w:w="9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4"/>
        <w:gridCol w:w="1325"/>
        <w:gridCol w:w="3829"/>
      </w:tblGrid>
      <w:tr w:rsidR="00000000">
        <w:trPr>
          <w:trHeight w:val="2949"/>
        </w:trPr>
        <w:tc>
          <w:tcPr>
            <w:tcW w:w="4714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:rsidR="00000000" w:rsidRDefault="007731F1">
            <w:pPr>
              <w:widowControl w:val="0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 </w:t>
            </w:r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Тимирязевский районный суд</w:t>
            </w:r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1rplc-41"/>
                <w:b/>
                <w:bCs/>
                <w:color w:val="000000"/>
                <w:lang w:val="en-BE" w:eastAsia="en-BE" w:bidi="ar-SA"/>
              </w:rPr>
              <w:t>адрес</w:t>
            </w:r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42"/>
                <w:color w:val="000000"/>
                <w:lang w:val="en-BE" w:eastAsia="en-BE" w:bidi="ar-SA"/>
              </w:rPr>
              <w:t>адрес</w:t>
            </w:r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3rplc-43"/>
                <w:color w:val="000000"/>
                <w:lang w:val="en-BE" w:eastAsia="en-BE" w:bidi="ar-SA"/>
              </w:rPr>
              <w:t>адрес</w:t>
            </w:r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Тел.: </w:t>
            </w:r>
            <w:r>
              <w:rPr>
                <w:rStyle w:val="cat-PhoneNumbergrp-18rplc-44"/>
                <w:color w:val="000000"/>
                <w:lang w:val="en-BE" w:eastAsia="en-BE" w:bidi="ar-SA"/>
              </w:rPr>
              <w:t>телефон</w:t>
            </w:r>
            <w:r>
              <w:rPr>
                <w:color w:val="000000"/>
                <w:lang w:val="en-BE" w:eastAsia="en-BE" w:bidi="ar-SA"/>
              </w:rPr>
              <w:t xml:space="preserve">; факс 8(495)482-21-85 </w:t>
            </w:r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E-mail: </w:t>
            </w:r>
            <w:hyperlink r:id="rId7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timiryazevsky.msk@sudrf.ru</w:t>
              </w:r>
            </w:hyperlink>
            <w:r>
              <w:rPr>
                <w:color w:val="000000"/>
                <w:lang w:val="en-BE" w:eastAsia="en-BE" w:bidi="ar-SA"/>
              </w:rPr>
              <w:t xml:space="preserve">; </w:t>
            </w:r>
            <w:hyperlink r:id="rId8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http://timiryazevsky.msk.sudrf.ru</w:t>
              </w:r>
            </w:hyperlink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№ </w:t>
            </w:r>
            <w:r>
              <w:rPr>
                <w:color w:val="000000"/>
                <w:u w:val="single" w:color="000000"/>
                <w:lang w:val="en-BE" w:eastAsia="en-BE" w:bidi="ar-SA"/>
              </w:rPr>
              <w:t>_            2-3068/23</w:t>
            </w:r>
          </w:p>
        </w:tc>
        <w:tc>
          <w:tcPr>
            <w:tcW w:w="1325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:rsidR="00000000" w:rsidRDefault="007731F1">
            <w:pPr>
              <w:keepNext/>
              <w:jc w:val="center"/>
              <w:rPr>
                <w:color w:val="000000"/>
                <w:lang w:val="en-BE" w:eastAsia="en-BE" w:bidi="ar-SA"/>
              </w:rPr>
            </w:pPr>
          </w:p>
        </w:tc>
        <w:tc>
          <w:tcPr>
            <w:tcW w:w="3829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 </w:t>
            </w:r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ПАО Сбербанк </w:t>
            </w:r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</w:p>
          <w:p w:rsidR="00000000" w:rsidRDefault="007731F1">
            <w:pPr>
              <w:widowControl w:val="0"/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Ружейниковой Е.Б.</w:t>
            </w:r>
          </w:p>
        </w:tc>
      </w:tr>
    </w:tbl>
    <w:p w:rsidR="00000000" w:rsidRDefault="007731F1">
      <w:pPr>
        <w:widowControl w:val="0"/>
        <w:ind w:right="5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7731F1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7731F1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Тимирязевский районный суд </w:t>
      </w:r>
      <w:r>
        <w:rPr>
          <w:rStyle w:val="cat-Addressgrp-0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мотивированного решения суда по гражданскому делу №2-3068/2023  по ис</w:t>
      </w:r>
      <w:r>
        <w:rPr>
          <w:lang w:val="en-BE" w:eastAsia="en-BE" w:bidi="ar-SA"/>
        </w:rPr>
        <w:t>ку ПАО Сбербанк в лице филиала – Московского банка ПАО Сбербанк к Ружейниковой Елене Борисовне о взыскании ссудной задолженности по эмиссионному контракту.</w:t>
      </w:r>
    </w:p>
    <w:p w:rsidR="00000000" w:rsidRDefault="007731F1">
      <w:pPr>
        <w:ind w:firstLine="708"/>
        <w:jc w:val="both"/>
        <w:rPr>
          <w:lang w:val="en-BE" w:eastAsia="en-BE" w:bidi="ar-SA"/>
        </w:rPr>
      </w:pPr>
    </w:p>
    <w:p w:rsidR="00000000" w:rsidRDefault="007731F1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Макляк М.А.</w:t>
      </w:r>
    </w:p>
    <w:p w:rsidR="00000000" w:rsidRDefault="007731F1">
      <w:pPr>
        <w:ind w:firstLine="708"/>
        <w:rPr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7731F1">
      <w:r>
        <w:separator/>
      </w:r>
    </w:p>
  </w:endnote>
  <w:endnote w:type="continuationSeparator" w:id="0">
    <w:p w:rsidR="00000000" w:rsidRDefault="0077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7731F1">
    <w:pPr>
      <w:jc w:val="right"/>
      <w:rPr>
        <w:sz w:val="18"/>
        <w:szCs w:val="18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7731F1">
      <w:r>
        <w:separator/>
      </w:r>
    </w:p>
  </w:footnote>
  <w:footnote w:type="continuationSeparator" w:id="0">
    <w:p w:rsidR="00000000" w:rsidRDefault="00773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1F1"/>
    <w:rsid w:val="0077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B627C8DF-EBAD-4090-9298-9E367801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Sumgrp-13rplc-10">
    <w:name w:val="cat-Sum grp-13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FIOgrp-6rplc-16">
    <w:name w:val="cat-FIO grp-6 rplc-16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12rplc-21">
    <w:name w:val="cat-Sum grp-12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0rplc-27">
    <w:name w:val="cat-Sum grp-10 rplc-27"/>
    <w:basedOn w:val="a0"/>
  </w:style>
  <w:style w:type="character" w:customStyle="1" w:styleId="cat-Sumgrp-16rplc-28">
    <w:name w:val="cat-Sum grp-16 rplc-28"/>
    <w:basedOn w:val="a0"/>
  </w:style>
  <w:style w:type="character" w:customStyle="1" w:styleId="cat-Sumgrp-17rplc-29">
    <w:name w:val="cat-Sum grp-17 rplc-29"/>
    <w:basedOn w:val="a0"/>
  </w:style>
  <w:style w:type="character" w:customStyle="1" w:styleId="cat-Sumgrp-10rplc-30">
    <w:name w:val="cat-Sum grp-10 rplc-30"/>
    <w:basedOn w:val="a0"/>
  </w:style>
  <w:style w:type="character" w:customStyle="1" w:styleId="cat-Sumgrp-11rplc-32">
    <w:name w:val="cat-Sum grp-11 rplc-32"/>
    <w:basedOn w:val="a0"/>
  </w:style>
  <w:style w:type="character" w:customStyle="1" w:styleId="cat-Sumgrp-10rplc-35">
    <w:name w:val="cat-Sum grp-10 rplc-35"/>
    <w:basedOn w:val="a0"/>
  </w:style>
  <w:style w:type="character" w:customStyle="1" w:styleId="cat-Sumgrp-11rplc-36">
    <w:name w:val="cat-Sum grp-11 rplc-36"/>
    <w:basedOn w:val="a0"/>
  </w:style>
  <w:style w:type="character" w:customStyle="1" w:styleId="cat-Sumgrp-12rplc-37">
    <w:name w:val="cat-Sum grp-12 rplc-37"/>
    <w:basedOn w:val="a0"/>
  </w:style>
  <w:style w:type="character" w:customStyle="1" w:styleId="cat-Sumgrp-13rplc-38">
    <w:name w:val="cat-Sum grp-13 rplc-38"/>
    <w:basedOn w:val="a0"/>
  </w:style>
  <w:style w:type="character" w:customStyle="1" w:styleId="cat-Addressgrp-0rplc-39">
    <w:name w:val="cat-Address grp-0 rplc-39"/>
    <w:basedOn w:val="a0"/>
  </w:style>
  <w:style w:type="character" w:customStyle="1" w:styleId="cat-Addressgrp-1rplc-41">
    <w:name w:val="cat-Address grp-1 rplc-41"/>
    <w:basedOn w:val="a0"/>
  </w:style>
  <w:style w:type="character" w:customStyle="1" w:styleId="cat-Addressgrp-2rplc-42">
    <w:name w:val="cat-Address grp-2 rplc-42"/>
    <w:basedOn w:val="a0"/>
  </w:style>
  <w:style w:type="character" w:customStyle="1" w:styleId="cat-Addressgrp-3rplc-43">
    <w:name w:val="cat-Address grp-3 rplc-43"/>
    <w:basedOn w:val="a0"/>
  </w:style>
  <w:style w:type="character" w:customStyle="1" w:styleId="cat-PhoneNumbergrp-18rplc-44">
    <w:name w:val="cat-PhoneNumber grp-18 rplc-44"/>
    <w:basedOn w:val="a0"/>
  </w:style>
  <w:style w:type="character" w:customStyle="1" w:styleId="cat-Addressgrp-0rplc-46">
    <w:name w:val="cat-Address grp-0 rplc-4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iryazevsky.msk.sudrf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miryazevsky.msk@sudrf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2061</Words>
  <Characters>11751</Characters>
  <Application>Microsoft Office Word</Application>
  <DocSecurity>0</DocSecurity>
  <Lines>97</Lines>
  <Paragraphs>27</Paragraphs>
  <ScaleCrop>false</ScaleCrop>
  <Company/>
  <LinksUpToDate>false</LinksUpToDate>
  <CharactersWithSpaces>13785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