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2B0FEF">
      <w:pPr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2-3213/2021                                             УИД- 77RS0009-02-2022-004291-02</w:t>
      </w:r>
    </w:p>
    <w:p w:rsidR="00000000" w:rsidRDefault="002B0FEF">
      <w:pPr>
        <w:jc w:val="center"/>
        <w:rPr>
          <w:lang w:val="en-BE" w:eastAsia="en-BE" w:bidi="ar-SA"/>
        </w:rPr>
      </w:pPr>
    </w:p>
    <w:p w:rsidR="00000000" w:rsidRDefault="002B0FE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 Е Ш Е Н И Е</w:t>
      </w:r>
    </w:p>
    <w:p w:rsidR="00000000" w:rsidRDefault="002B0FE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ИМЕНЕМ РОССИЙСКОЙ ФЕДЕРАЦИИ </w:t>
      </w:r>
    </w:p>
    <w:p w:rsidR="00000000" w:rsidRDefault="002B0FEF">
      <w:pPr>
        <w:jc w:val="center"/>
        <w:rPr>
          <w:lang w:val="en-BE" w:eastAsia="en-BE" w:bidi="ar-SA"/>
        </w:rPr>
      </w:pPr>
    </w:p>
    <w:p w:rsidR="00000000" w:rsidRDefault="002B0FEF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12  мая  2021  года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2B0FEF">
      <w:pPr>
        <w:jc w:val="both"/>
        <w:rPr>
          <w:lang w:val="en-BE" w:eastAsia="en-BE" w:bidi="ar-SA"/>
        </w:rPr>
      </w:pP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 председательствующего судьи            Сафьян Е.И.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 с участием ответчика   рассмотрев в открытом судебном заседании гражданское дело № 2-3213/2021 по иску Публичного акционерного общества «Сбербанк </w:t>
      </w:r>
      <w:r>
        <w:rPr>
          <w:lang w:val="en-BE" w:eastAsia="en-BE" w:bidi="ar-SA"/>
        </w:rPr>
        <w:t>России»   в лице филиала – Московский  Банк ПАО Сбербанк к  Стеславской Татьяне Николаевне о расторжении кредитного договора, взыскании задолженности по кредитному договору,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</w:p>
    <w:p w:rsidR="00000000" w:rsidRDefault="002B0FEF">
      <w:pPr>
        <w:widowControl w:val="0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2B0FEF">
      <w:pPr>
        <w:widowControl w:val="0"/>
        <w:jc w:val="center"/>
        <w:rPr>
          <w:lang w:val="en-BE" w:eastAsia="en-BE" w:bidi="ar-SA"/>
        </w:rPr>
      </w:pPr>
    </w:p>
    <w:p w:rsidR="00000000" w:rsidRDefault="002B0FEF">
      <w:pPr>
        <w:spacing w:line="274" w:lineRule="atLeast"/>
        <w:ind w:right="1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 в лице филиала Московского Банка ПАО «Сбербанк</w:t>
      </w:r>
      <w:r>
        <w:rPr>
          <w:lang w:val="en-BE" w:eastAsia="en-BE" w:bidi="ar-SA"/>
        </w:rPr>
        <w:t xml:space="preserve"> России» обратилось в суд с иском к  Стеславской Татьяне Николаевне о расторжении кредитного договора, взыскании задолженности по кредитному договору. В обоснование заявления истец указывает, что 01 сентября 2018  года  между  истцом и ответчиком был  закл</w:t>
      </w:r>
      <w:r>
        <w:rPr>
          <w:lang w:val="en-BE" w:eastAsia="en-BE" w:bidi="ar-SA"/>
        </w:rPr>
        <w:t xml:space="preserve">ючен кредитный  договор  № 93140672 на предоставление Стеславской Т.Н. кредита на сумму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месяцев  под 11.7 % годовых. Указанный договор подписан Стеславской Т.Н. простой электронной подписью посредством использования систем «Сбербанк Онла</w:t>
      </w:r>
      <w:r>
        <w:rPr>
          <w:lang w:val="en-BE" w:eastAsia="en-BE" w:bidi="ar-SA"/>
        </w:rPr>
        <w:t xml:space="preserve">йн» и «Мобильный банк». Денежные средства в размере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были перечислены банком на счет № 40817810238126023706, открытый в ПАО «Сбербанк России» на имя </w:t>
      </w:r>
      <w:r>
        <w:rPr>
          <w:rStyle w:val="cat-FIOgrp-8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Таким образом, истец выполнил свои обязательства по вышеуказанному кредитному договору в полном об</w:t>
      </w:r>
      <w:r>
        <w:rPr>
          <w:lang w:val="en-BE" w:eastAsia="en-BE" w:bidi="ar-SA"/>
        </w:rPr>
        <w:t xml:space="preserve">ъеме, предоставив Стеславской Т.Н. кредит в размере </w:t>
      </w:r>
      <w:r>
        <w:rPr>
          <w:rStyle w:val="cat-Sumgrp-10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выбранным ответчиком способом. Согласно п. 6 кредитного договора, возврат кредита и уплата процентов за пользование кредитными денежными средствами производится путем внесения ежемесячных платежей. </w:t>
      </w:r>
      <w:r>
        <w:rPr>
          <w:lang w:val="en-BE" w:eastAsia="en-BE" w:bidi="ar-SA"/>
        </w:rPr>
        <w:t>Согласно п 12 кредитного договора, при несвоевременном перечислении платежа кредита и уплаты процентов за пользование кредитом заемщик уплачивает кредитору неустойку в размере 20% годовых с суммы просроченного платежа за период с просрочки с даты, следующе</w:t>
      </w:r>
      <w:r>
        <w:rPr>
          <w:lang w:val="en-BE" w:eastAsia="en-BE" w:bidi="ar-SA"/>
        </w:rPr>
        <w:t xml:space="preserve">й за датой наступления исполнения обязательства. В течение срока действия договора  ответчик нарушила  условия договора в части  сроков и   сумм ежемесячных платежей, в связи  с чем, по состоянию на 21 декабря 2021 года у нее образовалась задолженность по </w:t>
      </w:r>
      <w:r>
        <w:rPr>
          <w:lang w:val="en-BE" w:eastAsia="en-BE" w:bidi="ar-SA"/>
        </w:rPr>
        <w:t>кредиту. Истец направил ответчику  требование о досрочном погашении образовавшейся задолженности с причитающимися процентами, однако задолженность до настоящего времени ответчиком в добровольном порядке не погашена.  Истец просит суд расторгнуть  кредитный</w:t>
      </w:r>
      <w:r>
        <w:rPr>
          <w:lang w:val="en-BE" w:eastAsia="en-BE" w:bidi="ar-SA"/>
        </w:rPr>
        <w:t xml:space="preserve"> договор № 93140672 от 01 сентября 2018   года, заключенный между Стеславской Татьяной Николаевной и ПАО «Сбербанк России»   в лице филиала Московский  Банк ПАО Сбербанк, взыскать с Стеславской Татьяны Николаевны в  пользу Публичного акционерного общества </w:t>
      </w:r>
      <w:r>
        <w:rPr>
          <w:lang w:val="en-BE" w:eastAsia="en-BE" w:bidi="ar-SA"/>
        </w:rPr>
        <w:t xml:space="preserve">«Сбербанк России»  в лице филиала Московский Банк ПАО Сбербанк  задолженность по кредитному договору  № 93140672 от 01 сентября 2018   года, за период с 15 июня 2021 года  по 21 декабря 2021 года в размере  </w:t>
      </w:r>
      <w:r>
        <w:rPr>
          <w:rStyle w:val="cat-Sumgrp-11rplc-15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числе, просроченный основной долг  в</w:t>
      </w:r>
      <w:r>
        <w:rPr>
          <w:lang w:val="en-BE" w:eastAsia="en-BE" w:bidi="ar-SA"/>
        </w:rPr>
        <w:t xml:space="preserve"> размере </w:t>
      </w:r>
      <w:r>
        <w:rPr>
          <w:rStyle w:val="cat-Sumgrp-12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размере </w:t>
      </w:r>
      <w:r>
        <w:rPr>
          <w:rStyle w:val="cat-Sumgrp-13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просроченный основной долг в размере </w:t>
      </w:r>
      <w:r>
        <w:rPr>
          <w:rStyle w:val="cat-Sumgrp-14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в размере </w:t>
      </w:r>
      <w:r>
        <w:rPr>
          <w:rStyle w:val="cat-Sumgrp-15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взыскать  с  Стеславской Татьяны </w:t>
      </w:r>
      <w:r>
        <w:rPr>
          <w:lang w:val="en-BE" w:eastAsia="en-BE" w:bidi="ar-SA"/>
        </w:rPr>
        <w:lastRenderedPageBreak/>
        <w:t>Николаевны в  пользу Публичного акционерного общест</w:t>
      </w:r>
      <w:r>
        <w:rPr>
          <w:lang w:val="en-BE" w:eastAsia="en-BE" w:bidi="ar-SA"/>
        </w:rPr>
        <w:t xml:space="preserve">ва «Сбербанк России»   в лице филиала Московский Банк ПАО Сбербанк  расходы по уплате государственной пошлины в размере </w:t>
      </w:r>
      <w:r>
        <w:rPr>
          <w:rStyle w:val="cat-Sumgrp-16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2B0FEF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судебное заседание  представитель истца ПАО «Сбербанк России» не явился, о дате и времени судебного заседания извещен надлежащи</w:t>
      </w:r>
      <w:r>
        <w:rPr>
          <w:lang w:val="en-BE" w:eastAsia="en-BE" w:bidi="ar-SA"/>
        </w:rPr>
        <w:t>м образом, представил ходатайство о рассмотрении дела в его отсутствие.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Стеславская Т.Н. в судебное заседание явилась, исковые требования признала, суду пояснила, что имеет маленький доход, и иные кредитные обязательства, в связи с чем, ей затрудн</w:t>
      </w:r>
      <w:r>
        <w:rPr>
          <w:lang w:val="en-BE" w:eastAsia="en-BE" w:bidi="ar-SA"/>
        </w:rPr>
        <w:t xml:space="preserve">ительно погашать задолженность по данному кредитному договору. 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167 ГПК РФ, с учетом письменного ходатайства истца о рассмотрении дела в отсутствие представителя истца, с учетом имеющихся в материалах дела документов, подтверждающих надлежащее</w:t>
      </w:r>
      <w:r>
        <w:rPr>
          <w:lang w:val="en-BE" w:eastAsia="en-BE" w:bidi="ar-SA"/>
        </w:rPr>
        <w:t xml:space="preserve"> извещение ответчика о дате, времени и месте судебного заседания, суд считает возможным рассмотреть дело при данной явке сторон.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 выслушав объяснения ответчика, исследовав письменные материалы дела, приходит к следующему.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161 ГК РФ сделки ю</w:t>
      </w:r>
      <w:r>
        <w:rPr>
          <w:lang w:val="en-BE" w:eastAsia="en-BE" w:bidi="ar-SA"/>
        </w:rPr>
        <w:t>ридических лиц с гражданами должны быть заключены в письменной форме. Использование при совершении сделок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</w:t>
      </w:r>
      <w:r>
        <w:rPr>
          <w:lang w:val="en-BE" w:eastAsia="en-BE" w:bidi="ar-SA"/>
        </w:rPr>
        <w:t xml:space="preserve"> соглашением сторон (п. 2 ст. 160 ГК РФ). 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частью 2 ст. 434 ГК РФ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</w:t>
      </w:r>
      <w:r>
        <w:rPr>
          <w:lang w:val="en-BE" w:eastAsia="en-BE" w:bidi="ar-SA"/>
        </w:rPr>
        <w:t>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договору. Электронным документом, передаваемым по каналам связи, признается информация, подг</w:t>
      </w:r>
      <w:r>
        <w:rPr>
          <w:lang w:val="en-BE" w:eastAsia="en-BE" w:bidi="ar-SA"/>
        </w:rPr>
        <w:t>отовленная, отправленная, полученная или хранимая с помощью электронных, магнитных, оптических либо аналогичных средств, включая обмен информацией в электронной форме и электронную почту.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2 Федерального закона от 06.04.2011 №63-Ф3 «Об эле</w:t>
      </w:r>
      <w:r>
        <w:rPr>
          <w:lang w:val="en-BE" w:eastAsia="en-BE" w:bidi="ar-SA"/>
        </w:rPr>
        <w:t>ктронной подписи» электронная подпись -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</w:t>
      </w:r>
      <w:r>
        <w:rPr>
          <w:lang w:val="en-BE" w:eastAsia="en-BE" w:bidi="ar-SA"/>
        </w:rPr>
        <w:t>ывающего информацию. По смыслу статьи 4 указанного закона принципами использования электронной подписи являются: право участников электронного взаимодействия использовать электронную подпись любого вида по своему усмотрению, если требование об использовани</w:t>
      </w:r>
      <w:r>
        <w:rPr>
          <w:lang w:val="en-BE" w:eastAsia="en-BE" w:bidi="ar-SA"/>
        </w:rPr>
        <w:t>и конкретного вида электронной подписи в соответствии с целями её использования не предусмотрено федеральными законами или принимаемыми в соответствии с ними нормативными правовыми актами либо соглашением между участниками электронного взаимодействия; недо</w:t>
      </w:r>
      <w:r>
        <w:rPr>
          <w:lang w:val="en-BE" w:eastAsia="en-BE" w:bidi="ar-SA"/>
        </w:rPr>
        <w:t>пустимость признания электронной подписи и (или) подписанного ею электронного документа не имеющими юридической силы только на основании того, что такая электронная подпись создана не собственноручно, а с использованием средств электронной подписи для авто</w:t>
      </w:r>
      <w:r>
        <w:rPr>
          <w:lang w:val="en-BE" w:eastAsia="en-BE" w:bidi="ar-SA"/>
        </w:rPr>
        <w:t>матического создания и (или) автоматической проверки электронных подписей в информационной системе.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ст. 3 Федерального закона от 06.04.2011 №63-Ф3 «Об электронной подписи» порядок использования электронной подписи в корпоративной </w:t>
      </w:r>
      <w:r>
        <w:rPr>
          <w:lang w:val="en-BE" w:eastAsia="en-BE" w:bidi="ar-SA"/>
        </w:rPr>
        <w:lastRenderedPageBreak/>
        <w:t>инфо</w:t>
      </w:r>
      <w:r>
        <w:rPr>
          <w:lang w:val="en-BE" w:eastAsia="en-BE" w:bidi="ar-SA"/>
        </w:rPr>
        <w:t>рмационной системе может устанавливаться оператором этой системы или соглашением между участниками электронного взаимодействия в ней.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заключении договора в электронной форме допускается использование любых технологий и технических устройств, обеспечива</w:t>
      </w:r>
      <w:r>
        <w:rPr>
          <w:lang w:val="en-BE" w:eastAsia="en-BE" w:bidi="ar-SA"/>
        </w:rPr>
        <w:t>ющих создание документа в цифровом виде.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Участники гражданского оборота вправе не только заключить электронный договор, когда для этого нет препятствий, но и провести платежи по нему электронными денежными средствами через кредитные организации. Такая возм</w:t>
      </w:r>
      <w:r>
        <w:rPr>
          <w:lang w:val="en-BE" w:eastAsia="en-BE" w:bidi="ar-SA"/>
        </w:rPr>
        <w:t>ожность предусмотрена ст. ст. 7, 9, 12, 13 Федерального закона от 27.06.2011 № 161-ФЗ «О национальной платёжной системе».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14 ст. 7 Федерального закона № 353-ФЗ «О потребительском кредите (займе)» документы, необходимые для заключения до</w:t>
      </w:r>
      <w:r>
        <w:rPr>
          <w:lang w:val="en-BE" w:eastAsia="en-BE" w:bidi="ar-SA"/>
        </w:rPr>
        <w:t>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</w:t>
      </w:r>
      <w:r>
        <w:rPr>
          <w:lang w:val="en-BE" w:eastAsia="en-BE" w:bidi="ar-SA"/>
        </w:rPr>
        <w:t>ием аналога собственноручной подписи способом, подтверждающим ее принадлежность сторонам в соответствии с требованиями федеральных законов, и направлены с использованием информационно телекоммуникационных сетей, в том числе сети "Интернет".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Гражданский код</w:t>
      </w:r>
      <w:r>
        <w:rPr>
          <w:lang w:val="en-BE" w:eastAsia="en-BE" w:bidi="ar-SA"/>
        </w:rPr>
        <w:t xml:space="preserve">екс Российской Федерации не устанавливает обязанности сторон использовать при заключении договора в электронной форме какие-либо конкретные информационные технологии и (или) технические устройства. Таким образом, виды применяемых информационных технологий </w:t>
      </w:r>
      <w:r>
        <w:rPr>
          <w:lang w:val="en-BE" w:eastAsia="en-BE" w:bidi="ar-SA"/>
        </w:rPr>
        <w:t>и (или) технических устройств должны определяться сторонами самостоятельно.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заключения договоров обмен электронными сообщениями, каждое из которых подписано электронной подписью или иным аналогом собственноручной подписи, в порядке, установленном з</w:t>
      </w:r>
      <w:r>
        <w:rPr>
          <w:lang w:val="en-BE" w:eastAsia="en-BE" w:bidi="ar-SA"/>
        </w:rPr>
        <w:t>аконом или соглашением сторон, рассматривается как обмен документами (п. 4 ст. 11 Федерального закона от 27 июля 2006 г. № 149-ФЗ «Об информации, информационных технологиях и о защите информации»).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307 ГК РФ, в силу обязательства одно</w:t>
      </w:r>
      <w:r>
        <w:rPr>
          <w:lang w:val="en-BE" w:eastAsia="en-BE" w:bidi="ar-SA"/>
        </w:rPr>
        <w:t xml:space="preserve">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</w:t>
      </w:r>
      <w:r>
        <w:rPr>
          <w:lang w:val="en-BE" w:eastAsia="en-BE" w:bidi="ar-SA"/>
        </w:rPr>
        <w:t>нения его обязанности.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</w:t>
      </w:r>
      <w:r>
        <w:rPr>
          <w:lang w:val="en-BE" w:eastAsia="en-BE" w:bidi="ar-SA"/>
        </w:rPr>
        <w:t>елового оборота или иными обычно предъявляемыми требованиями.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  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</w:t>
      </w:r>
      <w:r>
        <w:rPr>
          <w:lang w:val="en-BE" w:eastAsia="en-BE" w:bidi="ar-SA"/>
        </w:rPr>
        <w:t>конами или иными правовыми актами.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</w:t>
      </w:r>
      <w:r>
        <w:rPr>
          <w:lang w:val="en-BE" w:eastAsia="en-BE" w:bidi="ar-SA"/>
        </w:rPr>
        <w:t>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(«Заем») настоящей главы (№ 42), если иное не предусмотрено правилами настоящего параграфа и не вытека</w:t>
      </w:r>
      <w:r>
        <w:rPr>
          <w:lang w:val="en-BE" w:eastAsia="en-BE" w:bidi="ar-SA"/>
        </w:rPr>
        <w:t>ет из существа кредитного договора.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п.1 ст. 809 ГК РФ займодавец имеет право на получение с заемщика процентов на сумму займа в размерах и в порядке,  определенных договором. 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ГК РФ заемщик обязан возвратить займодавцу пол</w:t>
      </w:r>
      <w:r>
        <w:rPr>
          <w:lang w:val="en-BE" w:eastAsia="en-BE" w:bidi="ar-SA"/>
        </w:rPr>
        <w:t>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</w:t>
      </w:r>
      <w:r>
        <w:rPr>
          <w:lang w:val="en-BE" w:eastAsia="en-BE" w:bidi="ar-SA"/>
        </w:rPr>
        <w:t xml:space="preserve">ения займодавцем требования об этом, если иное не предусмотрено договором. 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</w:t>
      </w:r>
      <w:r>
        <w:rPr>
          <w:lang w:val="en-BE" w:eastAsia="en-BE" w:bidi="ar-SA"/>
        </w:rPr>
        <w:t>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820 ГК РФ кредитный договор должен быть заключен в письменной форме. 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из объяснений ответчика, письменны</w:t>
      </w:r>
      <w:r>
        <w:rPr>
          <w:lang w:val="en-BE" w:eastAsia="en-BE" w:bidi="ar-SA"/>
        </w:rPr>
        <w:t xml:space="preserve">х материалов дела установлено, что  01 сентября 2018  года  между  истцом и ответчиком был  заключен кредитный  договор  № 93140672 на предоставление Стеславской Т.Н. кредита на сумму </w:t>
      </w:r>
      <w:r>
        <w:rPr>
          <w:rStyle w:val="cat-Sumgrp-9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месяцев  под 11.7 % годовых, который Стеславская Т.Н.</w:t>
      </w:r>
      <w:r>
        <w:rPr>
          <w:lang w:val="en-BE" w:eastAsia="en-BE" w:bidi="ar-SA"/>
        </w:rPr>
        <w:t xml:space="preserve"> в свою очередь обязалась возвратить и уплатить проценты за пользование кредитом в сроки и на условиях, предусмотренных данным договором.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офертно-акцептной форме в электронном виде и подписан ответчиком простой электронной подп</w:t>
      </w:r>
      <w:r>
        <w:rPr>
          <w:lang w:val="en-BE" w:eastAsia="en-BE" w:bidi="ar-SA"/>
        </w:rPr>
        <w:t xml:space="preserve">исью. 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6 индивидуальных условий договора потребительского кредита, кредит погашается путем внесения ежемесячных аннуитетных платежей в размере </w:t>
      </w:r>
      <w:r>
        <w:rPr>
          <w:rStyle w:val="cat-Sumgrp-17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количество платежей – 60., платежная дата – 8-е число месяца. </w:t>
      </w:r>
    </w:p>
    <w:p w:rsidR="00000000" w:rsidRDefault="002B0FE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п. 12 ус</w:t>
      </w:r>
      <w:r>
        <w:rPr>
          <w:lang w:val="en-BE" w:eastAsia="en-BE" w:bidi="ar-SA"/>
        </w:rPr>
        <w:t xml:space="preserve">ловий, за несвоевременное перечисление платежа в погашение кредита и/или уплату процентов за пользование кредитом подлежит начислению неустойка в размере 20% годовых  с суммы просроченного платежа за период просрочки с даты, следующей за датой наступления </w:t>
      </w:r>
      <w:r>
        <w:rPr>
          <w:lang w:val="en-BE" w:eastAsia="en-BE" w:bidi="ar-SA"/>
        </w:rPr>
        <w:t xml:space="preserve">исполнения обязательства, установленной договором, по дату погашения просроченной задолженности. 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судом, и не оспаривалось ответчиком в ходе судебного заседания, Стеславская Т.Н. надлежащим образом своих обязательств по заключенному между с</w:t>
      </w:r>
      <w:r>
        <w:rPr>
          <w:lang w:val="en-BE" w:eastAsia="en-BE" w:bidi="ar-SA"/>
        </w:rPr>
        <w:t xml:space="preserve">торонами кредитному договору не исполняет, ежемесячные платежи в счет погашения задолженности по кредиту, а также уплате процентов за пользование кредитными денежными средствами не вносит, в связи с чем, имеет задолженность перед истцом. 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представленног</w:t>
      </w:r>
      <w:r>
        <w:rPr>
          <w:lang w:val="en-BE" w:eastAsia="en-BE" w:bidi="ar-SA"/>
        </w:rPr>
        <w:t>о истцом расчета просроченной задолженности по кредитному договору, составленного в соответствии с требованиями действующего законодательства РФ и условиями кредитного договора, общая сумма задолженности ответчика  по кредитному договору за период с 15 июн</w:t>
      </w:r>
      <w:r>
        <w:rPr>
          <w:lang w:val="en-BE" w:eastAsia="en-BE" w:bidi="ar-SA"/>
        </w:rPr>
        <w:t xml:space="preserve">я 2021 года  по 21 декабря 2021 года составляет  </w:t>
      </w:r>
      <w:r>
        <w:rPr>
          <w:rStyle w:val="cat-Sumgrp-11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числе, просроченный основной долг  в размере </w:t>
      </w:r>
      <w:r>
        <w:rPr>
          <w:rStyle w:val="cat-Sumgrp-12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размере </w:t>
      </w:r>
      <w:r>
        <w:rPr>
          <w:rStyle w:val="cat-Sumgrp-13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просроченный основной долг в размере </w:t>
      </w:r>
      <w:r>
        <w:rPr>
          <w:rStyle w:val="cat-Sumgrp-14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в размере </w:t>
      </w:r>
      <w:r>
        <w:rPr>
          <w:rStyle w:val="cat-Sumgrp-15rplc-32"/>
          <w:lang w:val="en-BE" w:eastAsia="en-BE" w:bidi="ar-SA"/>
        </w:rPr>
        <w:t>с</w:t>
      </w:r>
      <w:r>
        <w:rPr>
          <w:rStyle w:val="cat-Sumgrp-15rplc-32"/>
          <w:lang w:val="en-BE" w:eastAsia="en-BE" w:bidi="ar-SA"/>
        </w:rPr>
        <w:t>умма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расчет проверен,  установлено, его соответствие  условиям кредитного договора, требованиям Гражданского кодекса Российской Федерации, в связи с чем, оснований сомневаться в правильности произведенного расчета задолженности ответчика по кредитном</w:t>
      </w:r>
      <w:r>
        <w:rPr>
          <w:lang w:val="en-BE" w:eastAsia="en-BE" w:bidi="ar-SA"/>
        </w:rPr>
        <w:t xml:space="preserve">у договору у суда не имеется. 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частью 2 статьи  450 Гражданского кодекса Российской Федерации по требованию одной из сторон договор может быть изменен или расторгнут по решению суда  при существенном нарушении договора другой стороной. Сущ</w:t>
      </w:r>
      <w:r>
        <w:rPr>
          <w:lang w:val="en-BE" w:eastAsia="en-BE" w:bidi="ar-SA"/>
        </w:rPr>
        <w:t>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 и ответчиком  не оспорено, что </w:t>
      </w:r>
      <w:r>
        <w:rPr>
          <w:lang w:val="en-BE" w:eastAsia="en-BE" w:bidi="ar-SA"/>
        </w:rPr>
        <w:t xml:space="preserve"> им  нарушены существенные условия кредитного договора в части ежемесячной выплаты суммы кредита и  процентов.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истцом в адрес ответчика  направлялось уведомление о  досрочном  истребовании задолженности в связи с систе</w:t>
      </w:r>
      <w:r>
        <w:rPr>
          <w:lang w:val="en-BE" w:eastAsia="en-BE" w:bidi="ar-SA"/>
        </w:rPr>
        <w:t xml:space="preserve">матическим нарушением условий кредитного договора. 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 Кредитного договора предусмотрено право Банка требовать досрочного  взыскания суммы  задолженности  в тои числе  суммы кредита и начисленных процентов при нарушении ответчиком любого положения до</w:t>
      </w:r>
      <w:r>
        <w:rPr>
          <w:lang w:val="en-BE" w:eastAsia="en-BE" w:bidi="ar-SA"/>
        </w:rPr>
        <w:t xml:space="preserve">говора, в том числе  нарушения установленного договором срока возврата  очередной части кредита и/или срока оплаты  процентов за пользование кредитом.     </w:t>
      </w:r>
    </w:p>
    <w:p w:rsidR="00000000" w:rsidRDefault="002B0FEF">
      <w:pPr>
        <w:spacing w:line="274" w:lineRule="atLeast"/>
        <w:ind w:right="1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оценивая в совокупности представленные  доказательства, принмая во внимание признание</w:t>
      </w:r>
      <w:r>
        <w:rPr>
          <w:lang w:val="en-BE" w:eastAsia="en-BE" w:bidi="ar-SA"/>
        </w:rPr>
        <w:t xml:space="preserve"> иска ответчиком, суд приходит к выводу, что  исковые требования   о расторжении кредитного договора и  взыскании задолженности подлежат  удовлетворению. </w:t>
      </w:r>
    </w:p>
    <w:p w:rsidR="00000000" w:rsidRDefault="002B0FEF">
      <w:pPr>
        <w:spacing w:line="274" w:lineRule="atLeast"/>
        <w:ind w:right="1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полагает  необходимым расторгнуть  кредитный договор № 93140672 от 01 сентября 2018   года, заклю</w:t>
      </w:r>
      <w:r>
        <w:rPr>
          <w:lang w:val="en-BE" w:eastAsia="en-BE" w:bidi="ar-SA"/>
        </w:rPr>
        <w:t>ченный между Стеславской Татьяной Николаевной и ПАО «Сбербанк России»   в лице филиала Московский  Банк ПАО Сбербанк, взыскать с Стеславской Татьяны Николаевны в  пользу Публичного акционерного общества «Сбербанк России»  в лице филиала Московский Банк ПАО</w:t>
      </w:r>
      <w:r>
        <w:rPr>
          <w:lang w:val="en-BE" w:eastAsia="en-BE" w:bidi="ar-SA"/>
        </w:rPr>
        <w:t xml:space="preserve"> Сбербанк  задолженность по кредитному договору  № 93140672 от 01 сентября 2018   года, за период с 15 июня 2021 года  по 21 декабря 2021 года в размере  </w:t>
      </w:r>
      <w:r>
        <w:rPr>
          <w:rStyle w:val="cat-Sumgrp-11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числе, просроченный основной долг  в размере </w:t>
      </w:r>
      <w:r>
        <w:rPr>
          <w:rStyle w:val="cat-Sumgrp-12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размере </w:t>
      </w:r>
      <w:r>
        <w:rPr>
          <w:rStyle w:val="cat-Sumgrp-13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просроченный основной долг в размере </w:t>
      </w:r>
      <w:r>
        <w:rPr>
          <w:rStyle w:val="cat-Sumgrp-14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в размере </w:t>
      </w:r>
      <w:r>
        <w:rPr>
          <w:rStyle w:val="cat-Sumgrp-15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 в соответствии со ст. 98 ГПК РФ с ответчика в пользу истца подлежат взыскании расходы по уплате государственной пошлины  в размере  </w:t>
      </w:r>
      <w:r>
        <w:rPr>
          <w:rStyle w:val="cat-Sumgrp-16rplc-40"/>
          <w:lang w:val="en-BE" w:eastAsia="en-BE" w:bidi="ar-SA"/>
        </w:rPr>
        <w:t>су</w:t>
      </w:r>
      <w:r>
        <w:rPr>
          <w:rStyle w:val="cat-Sumgrp-16rplc-40"/>
          <w:lang w:val="en-BE" w:eastAsia="en-BE" w:bidi="ar-SA"/>
        </w:rPr>
        <w:t>мма</w:t>
      </w:r>
      <w:r>
        <w:rPr>
          <w:lang w:val="en-BE" w:eastAsia="en-BE" w:bidi="ar-SA"/>
        </w:rPr>
        <w:t xml:space="preserve"> 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194-198 ГПК РФ, суд </w:t>
      </w:r>
    </w:p>
    <w:p w:rsidR="00000000" w:rsidRDefault="002B0FEF">
      <w:pPr>
        <w:widowControl w:val="0"/>
        <w:jc w:val="both"/>
        <w:rPr>
          <w:lang w:val="en-BE" w:eastAsia="en-BE" w:bidi="ar-SA"/>
        </w:rPr>
      </w:pPr>
    </w:p>
    <w:p w:rsidR="00000000" w:rsidRDefault="002B0FEF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РЕШИЛ: </w:t>
      </w:r>
    </w:p>
    <w:p w:rsidR="00000000" w:rsidRDefault="002B0FEF">
      <w:pPr>
        <w:jc w:val="center"/>
        <w:rPr>
          <w:lang w:val="en-BE" w:eastAsia="en-BE" w:bidi="ar-SA"/>
        </w:rPr>
      </w:pP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 Публичного акционерного общества «Сбербанк России»  в лице филиала – Московский  Банк ПАО Сбербанк к  Стеславской Татьяне Николаевне о расторжении кред</w:t>
      </w:r>
      <w:r>
        <w:rPr>
          <w:lang w:val="en-BE" w:eastAsia="en-BE" w:bidi="ar-SA"/>
        </w:rPr>
        <w:t xml:space="preserve">итного договора, взыскании задолженности по кредитному договору – удовлетворить.  </w:t>
      </w:r>
    </w:p>
    <w:p w:rsidR="00000000" w:rsidRDefault="002B0FEF">
      <w:pPr>
        <w:spacing w:line="274" w:lineRule="atLeast"/>
        <w:ind w:right="1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 кредитный договор № 93140672 от 01 сентября 2018   года, заключенный между Стеславской Татьяной Николаевной и ПАО «Сбербанк России»   в лице филиала Московский </w:t>
      </w:r>
      <w:r>
        <w:rPr>
          <w:lang w:val="en-BE" w:eastAsia="en-BE" w:bidi="ar-SA"/>
        </w:rPr>
        <w:t xml:space="preserve"> Банк ПАО Сбербанк.</w:t>
      </w:r>
    </w:p>
    <w:p w:rsidR="00000000" w:rsidRDefault="002B0FEF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Стеславской Татьяны Николаевны в  пользу Публичного акционерного общества «Сбербанк России»  в лице филиала Московский Банк ПАО Сбербанк  задолженность по кредитному договору  № 93140672 от 01 сентября 2018   года, за период </w:t>
      </w:r>
      <w:r>
        <w:rPr>
          <w:lang w:val="en-BE" w:eastAsia="en-BE" w:bidi="ar-SA"/>
        </w:rPr>
        <w:t xml:space="preserve">с   15 июня 2021 года по 21 декабря 2021 года в размере  </w:t>
      </w:r>
      <w:r>
        <w:rPr>
          <w:rStyle w:val="cat-Sumgrp-11rplc-44"/>
          <w:lang w:val="en-BE" w:eastAsia="en-BE" w:bidi="ar-SA"/>
        </w:rPr>
        <w:t>сумма</w:t>
      </w:r>
    </w:p>
    <w:p w:rsidR="00000000" w:rsidRDefault="002B0FEF">
      <w:pPr>
        <w:spacing w:line="274" w:lineRule="atLeast"/>
        <w:ind w:right="1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 Стеславской Татьяны Николаевны в  пользу Публичного акционерного общества «Сбербанк России»   в лице филиала Московский Банк ПАО Сбербанк  расходы по уплате государственной пошлины </w:t>
      </w:r>
      <w:r>
        <w:rPr>
          <w:lang w:val="en-BE" w:eastAsia="en-BE" w:bidi="ar-SA"/>
        </w:rPr>
        <w:t xml:space="preserve">в размере </w:t>
      </w:r>
      <w:r>
        <w:rPr>
          <w:rStyle w:val="cat-Sumgrp-16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2B0FEF">
      <w:pPr>
        <w:widowControl w:val="0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сторонами в Московский городской суд через Зюзинский районный суд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одного месяца  со дня принятия решения судом в окончательной форме.</w:t>
      </w:r>
    </w:p>
    <w:p w:rsidR="00000000" w:rsidRDefault="002B0FEF">
      <w:pPr>
        <w:widowControl w:val="0"/>
        <w:ind w:right="471" w:firstLine="720"/>
        <w:jc w:val="both"/>
        <w:rPr>
          <w:lang w:val="en-BE" w:eastAsia="en-BE" w:bidi="ar-SA"/>
        </w:rPr>
      </w:pPr>
    </w:p>
    <w:p w:rsidR="00000000" w:rsidRDefault="002B0FEF">
      <w:pPr>
        <w:widowControl w:val="0"/>
        <w:ind w:right="471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Е.И. Сафьян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2B0FEF">
      <w:r>
        <w:separator/>
      </w:r>
    </w:p>
  </w:endnote>
  <w:endnote w:type="continuationSeparator" w:id="0">
    <w:p w:rsidR="00000000" w:rsidRDefault="002B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2B0FEF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:rsidR="00000000" w:rsidRDefault="002B0FEF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2B0FEF">
      <w:r>
        <w:separator/>
      </w:r>
    </w:p>
  </w:footnote>
  <w:footnote w:type="continuationSeparator" w:id="0">
    <w:p w:rsidR="00000000" w:rsidRDefault="002B0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0FEF"/>
    <w:rsid w:val="002B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55CCBB45-C9A7-4478-9C53-1DEC6DC2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9">
    <w:name w:val="cat-Sum grp-10 rplc-9"/>
    <w:basedOn w:val="a0"/>
  </w:style>
  <w:style w:type="character" w:customStyle="1" w:styleId="cat-FIOgrp-8rplc-10">
    <w:name w:val="cat-FIO grp-8 rplc-10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11rplc-15">
    <w:name w:val="cat-Sum grp-11 rplc-15"/>
    <w:basedOn w:val="a0"/>
  </w:style>
  <w:style w:type="character" w:customStyle="1" w:styleId="cat-Sumgrp-12rplc-16">
    <w:name w:val="cat-Sum grp-12 rplc-16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14rplc-18">
    <w:name w:val="cat-Sum grp-14 rplc-18"/>
    <w:basedOn w:val="a0"/>
  </w:style>
  <w:style w:type="character" w:customStyle="1" w:styleId="cat-Sumgrp-15rplc-19">
    <w:name w:val="cat-Sum grp-15 rplc-19"/>
    <w:basedOn w:val="a0"/>
  </w:style>
  <w:style w:type="character" w:customStyle="1" w:styleId="cat-Sumgrp-16rplc-21">
    <w:name w:val="cat-Sum grp-16 rplc-21"/>
    <w:basedOn w:val="a0"/>
  </w:style>
  <w:style w:type="character" w:customStyle="1" w:styleId="cat-Sumgrp-9rplc-24">
    <w:name w:val="cat-Sum grp-9 rplc-24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1rplc-28">
    <w:name w:val="cat-Sum grp-11 rplc-28"/>
    <w:basedOn w:val="a0"/>
  </w:style>
  <w:style w:type="character" w:customStyle="1" w:styleId="cat-Sumgrp-12rplc-29">
    <w:name w:val="cat-Sum grp-12 rplc-29"/>
    <w:basedOn w:val="a0"/>
  </w:style>
  <w:style w:type="character" w:customStyle="1" w:styleId="cat-Sumgrp-13rplc-30">
    <w:name w:val="cat-Sum grp-13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11rplc-35">
    <w:name w:val="cat-Sum grp-11 rplc-35"/>
    <w:basedOn w:val="a0"/>
  </w:style>
  <w:style w:type="character" w:customStyle="1" w:styleId="cat-Sumgrp-12rplc-36">
    <w:name w:val="cat-Sum grp-12 rplc-36"/>
    <w:basedOn w:val="a0"/>
  </w:style>
  <w:style w:type="character" w:customStyle="1" w:styleId="cat-Sumgrp-13rplc-37">
    <w:name w:val="cat-Sum grp-13 rplc-37"/>
    <w:basedOn w:val="a0"/>
  </w:style>
  <w:style w:type="character" w:customStyle="1" w:styleId="cat-Sumgrp-14rplc-38">
    <w:name w:val="cat-Sum grp-14 rplc-38"/>
    <w:basedOn w:val="a0"/>
  </w:style>
  <w:style w:type="character" w:customStyle="1" w:styleId="cat-Sumgrp-15rplc-39">
    <w:name w:val="cat-Sum grp-15 rplc-39"/>
    <w:basedOn w:val="a0"/>
  </w:style>
  <w:style w:type="character" w:customStyle="1" w:styleId="cat-Sumgrp-16rplc-40">
    <w:name w:val="cat-Sum grp-16 rplc-40"/>
    <w:basedOn w:val="a0"/>
  </w:style>
  <w:style w:type="character" w:customStyle="1" w:styleId="cat-Sumgrp-11rplc-44">
    <w:name w:val="cat-Sum grp-11 rplc-44"/>
    <w:basedOn w:val="a0"/>
  </w:style>
  <w:style w:type="character" w:customStyle="1" w:styleId="cat-Sumgrp-16rplc-46">
    <w:name w:val="cat-Sum grp-16 rplc-46"/>
    <w:basedOn w:val="a0"/>
  </w:style>
  <w:style w:type="character" w:customStyle="1" w:styleId="cat-Addressgrp-0rplc-47">
    <w:name w:val="cat-Address grp-0 rplc-4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2517</Words>
  <Characters>14352</Characters>
  <Application>Microsoft Office Word</Application>
  <DocSecurity>0</DocSecurity>
  <Lines>119</Lines>
  <Paragraphs>33</Paragraphs>
  <ScaleCrop>false</ScaleCrop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