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40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РЕШЕНИЕ</w:t>
      </w:r>
    </w:p>
    <w:p>
      <w:pPr>
        <w:spacing w:before="0" w:after="0"/>
        <w:ind w:firstLine="540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Именем Российской Федерации</w:t>
      </w:r>
    </w:p>
    <w:p>
      <w:pPr>
        <w:spacing w:before="0" w:after="0"/>
        <w:ind w:firstLine="540"/>
        <w:jc w:val="center"/>
        <w:rPr>
          <w:sz w:val="27"/>
          <w:szCs w:val="27"/>
        </w:rPr>
      </w:pPr>
    </w:p>
    <w:p>
      <w:pPr>
        <w:spacing w:before="0" w:after="0"/>
        <w:ind w:firstLine="709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24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сентября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2021 года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                                    </w:t>
      </w:r>
      <w:r>
        <w:rPr>
          <w:rStyle w:val="cat-Addressgrp-0rplc-0"/>
          <w:rFonts w:ascii="Times New Roman" w:eastAsia="Times New Roman" w:hAnsi="Times New Roman" w:cs="Times New Roman"/>
          <w:sz w:val="27"/>
          <w:szCs w:val="27"/>
          <w:highlight w:val="none"/>
        </w:rPr>
        <w:t>адрес</w:t>
      </w:r>
    </w:p>
    <w:p>
      <w:pPr>
        <w:spacing w:before="0" w:after="0"/>
        <w:ind w:firstLine="709"/>
        <w:rPr>
          <w:sz w:val="27"/>
          <w:szCs w:val="27"/>
        </w:rPr>
      </w:pPr>
    </w:p>
    <w:p>
      <w:pPr>
        <w:spacing w:before="0" w:after="0"/>
        <w:ind w:firstLine="709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Тверской районный суд </w:t>
      </w:r>
      <w:r>
        <w:rPr>
          <w:rStyle w:val="cat-Addressgrp-1rplc-1"/>
          <w:rFonts w:ascii="Times New Roman" w:eastAsia="Times New Roman" w:hAnsi="Times New Roman" w:cs="Times New Roman"/>
          <w:sz w:val="27"/>
          <w:szCs w:val="27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Коротовой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Е.Г., при секретаре </w:t>
      </w:r>
      <w:r>
        <w:rPr>
          <w:rStyle w:val="cat-FIOgrp-4rplc-3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,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3383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/2021 по иску ПАО Сбербанк в лице филиала – Московского банка ПАО Сбербанк к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Савеловой (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Чмель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) </w:t>
      </w:r>
      <w:r>
        <w:rPr>
          <w:rStyle w:val="cat-FIOgrp-2rplc-4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 взыскании задолженности по эмиссионному контракту,</w:t>
      </w:r>
    </w:p>
    <w:p>
      <w:pPr>
        <w:spacing w:before="0" w:after="0"/>
        <w:ind w:firstLine="540"/>
        <w:jc w:val="center"/>
        <w:rPr>
          <w:sz w:val="27"/>
          <w:szCs w:val="27"/>
        </w:rPr>
      </w:pPr>
    </w:p>
    <w:p>
      <w:pPr>
        <w:spacing w:before="0" w:after="0"/>
        <w:ind w:firstLine="540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УСТАНОВИЛ:</w:t>
      </w: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Публичное акционерное общество Сбербанк России в лице филиал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а-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Московского банка ПАО Сбербанк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обратилось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 суд с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вышеуказанным иском, в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котором просит взыскать с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Савеловой (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Чмель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) Т.И.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 пользу ПАО Сбербанк России в лице филиала- Московского банка ПАО Сбербанк задолженность по эмиссионному контракту №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0910-Р-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500371853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размере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Style w:val="cat-Sumgrp-7rplc-5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, расходы по оплате государственной пошлины в размере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Style w:val="cat-Sumgrp-8rplc-6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обосновани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исковых требований истец указал, что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25.11.2011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межд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у ПАО Сбербанк и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Савеловой (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Чмель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) Т.И.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заключен эмиссионный контракт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0910-Р-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500371853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на предоставление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возобновляемой кредитной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линии посредствам выдачи банковской карты с предоставленным по ней кредитом и обслуживанием счета по да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нной карте в российских рублях. Указанный договор заключен в результате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оферты путем оформления ответчиком заявления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на получение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кред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итной карты Сбербанка России и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ознакомления его с Индивидуальными условиями выпуска и обслуживания карты банка, общими условиями выпуска, Тарифами банка, памяткой держателя банковских карт и Памяткой по безопасности. Во исполнение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заключенного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договора ответчику была выдана кредитная карта с лимитом кредита в сумме </w:t>
      </w:r>
      <w:r>
        <w:rPr>
          <w:rStyle w:val="cat-Sumgrp-9rplc-7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Ответчиком в нарушении условий договора платежи в счет погашения задолженности по кредиту производились с нарушением сроков и сумм, обязательных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к погашению, в результате чего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по состоянию на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12.01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.2021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образовалась задолженность в размере </w:t>
      </w:r>
      <w:r>
        <w:rPr>
          <w:rStyle w:val="cat-Sumgrp-7rplc-8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Требование,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направленное банком в адрес ответчика о досрочном возврате суммы кредита ответчиком не исполнено, задолженность не погашена.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Представитель истца в судебное заседание не явился, извещен надлежащим образом, просил рассмотреть дело в свое отсутствие.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Ответчик в судебное заседание не явился, о месте и времени судебного разбирательства извещен надлежащим образом, доказательств уважительности причин неявки в суд не представил, ходатайств об отложении не заявлял, письменных возражений на иск не представил.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Дело рассмотрено в отсутствие сторон на основании ст.167 ГПК РФ.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Изучив доводы иска, исследовав письменные материалы дела, суд считает исковые требования подлежащими удовлетворению по следующим основаниям.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Согласно п. 2 ст. 1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соответствии с п. 1 ст. 819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неё.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Согласно п. 2 ст. 819 ГК РФ, к отношениям по кредитному договору применяются правила, предусмотренные </w:t>
      </w:r>
      <w:r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instrText xml:space="preserve"> HYPERLINK "file:///C:\\Users\\User\\Desktop\\коротова%20Е\\Банки,%20Коллекторское%20агентство\\2-5780-2019%20Сбербанк-%20Лазаренко%20кредит%20эмисионный%20контракт%20УД.doc" \l "sub_807" </w:instrText>
      </w:r>
      <w:r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7"/>
          <w:szCs w:val="27"/>
          <w:highlight w:val="none"/>
        </w:rPr>
        <w:t>параграфом 1</w:t>
      </w:r>
      <w:r>
        <w:rPr>
          <w:rFonts w:ascii="Times New Roman" w:eastAsia="Times New Roman" w:hAnsi="Times New Roman" w:cs="Times New Roman"/>
          <w:color w:val="0000EE"/>
          <w:sz w:val="27"/>
          <w:szCs w:val="27"/>
        </w:rPr>
        <w:fldChar w:fldCharType="end"/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главы 42 ГК РФ, если иное не предусмотрено правилами параграфа 2 и не вытекает из существа кредитного договора.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силу п. 1 ст. 810 ГК РФ,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Согласно п.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судебном заседании установлено и подтверждается материалами дела, что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25.11.2011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между ПАО Сбербанк и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Савеловой (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Чмель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) Т.И.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заключен эмиссионный контракт №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0910-Р-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500371853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на предоставление возобновляемой кредитной линии посредствам выдачи банковской карты с предоставленным по ней кредитом и обслуживанием счета по данной карте в российских рублях. 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 и ознакомления его с Условиями выпуска и обслуживания кредитной карты Банка, Тарифами Банка, Памяткой Держателя банковских карт и Памяткой по безопасности.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Данный договор, по своему существу, является договором присоединения, основные положения которого в одностороннем порядке сформулированы Банком в Условиях. Возможность заключения такого договора предусмотрена статьей 428 Гражданского кодекса Российской Федерации.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Во исполнение заключенного договора Подразделением Банка ответчику была выдана кредитная карта с лимитом кредита в сумме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Style w:val="cat-Sumgrp-9rplc-9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, условия предоставления и возврата которого изложены в Условиях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соответствии с п. 2 Условий Подразделение Банка - это подразделение ПАО Сбербанк, осуществляющие выпуск и обслуживание физических лиц по кредитным картам. Перечень Подразделений Банка размещен на Официальном сайте Банка- www.sberbank.ru.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 соответствии с Условиями операции, совершенные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кредита. Кредит по карте предоставляется Ответчи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ку в размере кредитного лимита </w:t>
      </w:r>
      <w:r>
        <w:rPr>
          <w:rStyle w:val="cat-Sumgrp-9rplc-10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под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19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операционных платежей за пользование кредитными средствами, в том числе сумм обязательных платежей по карте.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соответствии с Условиями Банк вправе в одностороннем порядке изменять доступный лимит кредита.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или полностью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(оплата суммы общей задолженности) в соответствии с информацией, указанной в отчете, путем пополнения счета не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позднее двадцати календарных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дней с даты формирования отчетов по карте.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Согласно п. 1 ст. 307 ГК РФ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от должника исполнения его обязанности.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силу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Согласно ст. 310 ГК РФ односторонний отказ от исполнения обязательства и одностороннее изменение его условий не допускается. 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соответствии с Условиями, в случае неисполнения или ненадлежащего исполнения ответчиком условий заключен договора, Банк имеет право досрочно потребовать оплаты общей суммы задолженности по карте, а Ответчик обязуется досрочно ее погасить.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Согласно исковому заявлению,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платежи в счет погашения зад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олженности по кредиту ответчик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производил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с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нарушениями в части сроков и сумм, обязательных к погашению.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По состоянию на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12.01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.2021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образовалась задолженность в размере </w:t>
      </w:r>
      <w:r>
        <w:rPr>
          <w:rStyle w:val="cat-Sumgrp-7rplc-11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из которых: просроченный основной долг – </w:t>
      </w:r>
      <w:r>
        <w:rPr>
          <w:rStyle w:val="cat-Sumgrp-10rplc-12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просроченные проценты – </w:t>
      </w:r>
      <w:r>
        <w:rPr>
          <w:rStyle w:val="cat-Sumgrp-11rplc-13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неустойка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– </w:t>
      </w:r>
      <w:r>
        <w:rPr>
          <w:rStyle w:val="cat-Sumgrp-12rplc-14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Ответчику было направлено письмо с требованием о возврате с кредита, процентов за пользование кредитом и уплате неустойки. Данное требование настоящего момента не выполнено.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Оценив в совокупности собранные по делу доказательства, суд приходит к выводу о том, что требования ПАО Сбербанк являются обоснованными.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Вышеизложенные обстоятельства подтверждаются представленными в материалы дела доказательствами и расчетами, составленными в соответствии с условиями кредитного договора, не оспоренными в надлежащем порядке, в связи с чем суд считает подлежащими удовлетворению заявленные исковые требования. </w:t>
      </w:r>
    </w:p>
    <w:p>
      <w:pPr>
        <w:widowControl w:val="0"/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Согласно ст. 56 ГПК РФ каждая сторона должна доказать те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Доказательств, свидетельствующих об исполнении надлежащим образом принятых на себя обязательств по кредитному договору, так и опровергающих расчет задолженности по кредитному договору ответчиком не представлено.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При таких обстоятельствах суд приходит к выводу о взыскании с ответчика в пользу истца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задолженности по эмиссионному контракту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0910-Р-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500371853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 размере </w:t>
      </w:r>
      <w:r>
        <w:rPr>
          <w:rStyle w:val="cat-Sumgrp-7rplc-15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 соответствии с ч.1 ст. 98 ГПК РФ с ответчика в пользу истца подлежат взысканию расходы по уплате государственной пошлины в размере </w:t>
      </w:r>
      <w:r>
        <w:rPr>
          <w:rStyle w:val="cat-Sumgrp-13rplc-16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На основании изложенного, руководствуясь ст. ст. 194-198 ГПК РФ, суд</w:t>
      </w: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61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РЕШИЛ:</w:t>
      </w:r>
    </w:p>
    <w:p>
      <w:pPr>
        <w:spacing w:before="0" w:after="0"/>
        <w:ind w:firstLine="561"/>
        <w:jc w:val="both"/>
        <w:rPr>
          <w:sz w:val="27"/>
          <w:szCs w:val="27"/>
        </w:rPr>
      </w:pP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Иск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публичного акционерного общества Сбербанк России в лице филиал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а-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Московского банка ПАО Сбербанк к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Савеловой (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Чмель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) </w:t>
      </w:r>
      <w:r>
        <w:rPr>
          <w:rStyle w:val="cat-FIOgrp-2rplc-17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 взыскании задолженности по эмиссионному контракту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 взыскании задолженности по эмиссионному контракту, судебных расходов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, удовлетворить.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Савеловой (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Чмель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) </w:t>
      </w:r>
      <w:r>
        <w:rPr>
          <w:rStyle w:val="cat-FIOgrp-5rplc-18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пользу ПАО «Сбербанк России» в лице филиал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а-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Московского банка ПАО «Сбербанк» задолженность в размере </w:t>
      </w:r>
      <w:r>
        <w:rPr>
          <w:rStyle w:val="cat-Sumgrp-14rplc-19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, расходы по оплате государственной пошлины в размере </w:t>
      </w:r>
      <w:r>
        <w:rPr>
          <w:rStyle w:val="cat-Sumgrp-13rplc-20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Решение может быть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обжаловано в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Московский городской суд в течение месяца. 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Апелляционная жалоба подается через Тверской районный суд </w:t>
      </w:r>
      <w:r>
        <w:rPr>
          <w:rStyle w:val="cat-Addressgrp-1rplc-21"/>
          <w:rFonts w:ascii="Times New Roman" w:eastAsia="Times New Roman" w:hAnsi="Times New Roman" w:cs="Times New Roman"/>
          <w:sz w:val="27"/>
          <w:szCs w:val="27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.</w:t>
      </w:r>
    </w:p>
    <w:p>
      <w:pPr>
        <w:spacing w:before="0" w:after="0"/>
        <w:ind w:firstLine="561"/>
        <w:jc w:val="both"/>
        <w:rPr>
          <w:sz w:val="27"/>
          <w:szCs w:val="27"/>
        </w:rPr>
      </w:pP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                                                                                      </w:t>
      </w:r>
      <w:r>
        <w:rPr>
          <w:rStyle w:val="cat-FIOgrp-6rplc-22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Мотивированное решение суда изготовлено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15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октября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202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1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года </w:t>
      </w: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center"/>
        <w:rPr>
          <w:sz w:val="27"/>
          <w:szCs w:val="27"/>
        </w:rPr>
      </w:pPr>
    </w:p>
    <w:p>
      <w:pPr>
        <w:spacing w:before="0" w:after="0"/>
        <w:ind w:firstLine="540"/>
        <w:jc w:val="center"/>
        <w:rPr>
          <w:sz w:val="27"/>
          <w:szCs w:val="27"/>
        </w:rPr>
      </w:pPr>
    </w:p>
    <w:p>
      <w:pPr>
        <w:spacing w:before="0" w:after="0"/>
        <w:ind w:firstLine="540"/>
        <w:jc w:val="center"/>
        <w:rPr>
          <w:sz w:val="27"/>
          <w:szCs w:val="27"/>
        </w:rPr>
      </w:pPr>
    </w:p>
    <w:p>
      <w:pPr>
        <w:spacing w:before="0" w:after="0"/>
        <w:ind w:firstLine="540"/>
        <w:jc w:val="center"/>
        <w:rPr>
          <w:sz w:val="27"/>
          <w:szCs w:val="27"/>
        </w:rPr>
      </w:pPr>
    </w:p>
    <w:p>
      <w:pPr>
        <w:spacing w:before="0" w:after="0"/>
        <w:ind w:firstLine="540"/>
        <w:jc w:val="center"/>
        <w:rPr>
          <w:sz w:val="27"/>
          <w:szCs w:val="27"/>
        </w:rPr>
      </w:pPr>
    </w:p>
    <w:p>
      <w:pPr>
        <w:spacing w:before="0" w:after="0"/>
        <w:ind w:firstLine="540"/>
        <w:jc w:val="center"/>
        <w:rPr>
          <w:sz w:val="27"/>
          <w:szCs w:val="27"/>
        </w:rPr>
      </w:pPr>
    </w:p>
    <w:p>
      <w:pPr>
        <w:spacing w:before="0" w:after="0"/>
        <w:ind w:firstLine="540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РЕШЕНИЕ</w:t>
      </w:r>
    </w:p>
    <w:p>
      <w:pPr>
        <w:spacing w:before="0" w:after="0"/>
        <w:ind w:firstLine="540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Именем Российской Федерации</w:t>
      </w:r>
    </w:p>
    <w:p>
      <w:pPr>
        <w:spacing w:before="0" w:after="0"/>
        <w:ind w:firstLine="540"/>
        <w:jc w:val="center"/>
        <w:rPr>
          <w:sz w:val="27"/>
          <w:szCs w:val="27"/>
        </w:rPr>
      </w:pPr>
    </w:p>
    <w:p>
      <w:pPr>
        <w:spacing w:before="0" w:after="0"/>
        <w:ind w:firstLine="709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24 сентября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2021 года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                           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                                    </w:t>
      </w:r>
      <w:r>
        <w:rPr>
          <w:rStyle w:val="cat-Addressgrp-0rplc-23"/>
          <w:rFonts w:ascii="Times New Roman" w:eastAsia="Times New Roman" w:hAnsi="Times New Roman" w:cs="Times New Roman"/>
          <w:sz w:val="27"/>
          <w:szCs w:val="27"/>
          <w:highlight w:val="none"/>
        </w:rPr>
        <w:t>адрес</w:t>
      </w:r>
    </w:p>
    <w:p>
      <w:pPr>
        <w:spacing w:before="0" w:after="0"/>
        <w:ind w:firstLine="709"/>
        <w:rPr>
          <w:sz w:val="27"/>
          <w:szCs w:val="27"/>
        </w:rPr>
      </w:pPr>
    </w:p>
    <w:p>
      <w:pPr>
        <w:spacing w:before="0" w:after="0"/>
        <w:ind w:firstLine="709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Тверской районный суд </w:t>
      </w:r>
      <w:r>
        <w:rPr>
          <w:rStyle w:val="cat-Addressgrp-1rplc-24"/>
          <w:rFonts w:ascii="Times New Roman" w:eastAsia="Times New Roman" w:hAnsi="Times New Roman" w:cs="Times New Roman"/>
          <w:sz w:val="27"/>
          <w:szCs w:val="27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Коротовой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Е.Г., при секретаре </w:t>
      </w:r>
      <w:r>
        <w:rPr>
          <w:rStyle w:val="cat-FIOgrp-4rplc-26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,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3383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/2021 по иску ПАО Сбербанк в лице филиала – Московского банка ПАО Сбербанк к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Савеловой (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Чмель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) </w:t>
      </w:r>
      <w:r>
        <w:rPr>
          <w:rStyle w:val="cat-FIOgrp-2rplc-27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 взыскании задолженности по эмиссионному контракту,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руководствуясь ст. 199 ГПК РФ, суд</w:t>
      </w:r>
    </w:p>
    <w:p>
      <w:pPr>
        <w:spacing w:before="0" w:after="0"/>
        <w:ind w:firstLine="561"/>
        <w:jc w:val="both"/>
        <w:rPr>
          <w:sz w:val="27"/>
          <w:szCs w:val="27"/>
        </w:rPr>
      </w:pPr>
    </w:p>
    <w:p>
      <w:pPr>
        <w:spacing w:before="0" w:after="0"/>
        <w:ind w:firstLine="561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РЕШИЛ:</w:t>
      </w:r>
    </w:p>
    <w:p>
      <w:pPr>
        <w:spacing w:before="0" w:after="0"/>
        <w:ind w:firstLine="561"/>
        <w:jc w:val="both"/>
        <w:rPr>
          <w:sz w:val="27"/>
          <w:szCs w:val="27"/>
        </w:rPr>
      </w:pP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Иск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публичного акционерного общества Сбербанк России в лице филиал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а-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Московского банка ПАО Сбербанк к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Савеловой (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Чмель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) </w:t>
      </w:r>
      <w:r>
        <w:rPr>
          <w:rStyle w:val="cat-FIOgrp-2rplc-28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о взыскании задолженности по эмиссионному контракту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о взыскании задолженности по эмиссионному контракту, судебных расходов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, удовлетворить.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Савеловой (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Чмель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) </w:t>
      </w:r>
      <w:r>
        <w:rPr>
          <w:rStyle w:val="cat-FIOgrp-5rplc-29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в пользу ПАО «Сбербанк России» в лице филиал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а-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Московского банка ПАО «Сбербанк» задолженность в размере </w:t>
      </w:r>
      <w:r>
        <w:rPr>
          <w:rStyle w:val="cat-Sumgrp-14rplc-30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, расходы по оплате государственной пошлины в размере </w:t>
      </w:r>
      <w:r>
        <w:rPr>
          <w:rStyle w:val="cat-Sumgrp-13rplc-31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Решение может быть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обжаловано в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Московский городской суд в течение месяца. 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Апелляционная жалоба подается через Тверской районный суд </w:t>
      </w:r>
      <w:r>
        <w:rPr>
          <w:rStyle w:val="cat-Addressgrp-1rplc-32"/>
          <w:rFonts w:ascii="Times New Roman" w:eastAsia="Times New Roman" w:hAnsi="Times New Roman" w:cs="Times New Roman"/>
          <w:sz w:val="27"/>
          <w:szCs w:val="27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.</w:t>
      </w:r>
    </w:p>
    <w:p>
      <w:pPr>
        <w:spacing w:before="0" w:after="0"/>
        <w:ind w:firstLine="561"/>
        <w:jc w:val="both"/>
        <w:rPr>
          <w:sz w:val="27"/>
          <w:szCs w:val="27"/>
        </w:rPr>
      </w:pP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                                                                                      </w:t>
      </w:r>
      <w:r>
        <w:rPr>
          <w:rStyle w:val="cat-FIOgrp-6rplc-33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</w:p>
    <w:p>
      <w:pPr>
        <w:spacing w:before="0" w:after="0"/>
        <w:ind w:firstLine="567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FIOgrp-2rplc-4">
    <w:name w:val="cat-FIO grp-2 rplc-4"/>
    <w:basedOn w:val="DefaultParagraphFont"/>
  </w:style>
  <w:style w:type="character" w:customStyle="1" w:styleId="cat-Sumgrp-7rplc-5">
    <w:name w:val="cat-Sum grp-7 rplc-5"/>
    <w:basedOn w:val="DefaultParagraphFont"/>
  </w:style>
  <w:style w:type="character" w:customStyle="1" w:styleId="cat-Sumgrp-8rplc-6">
    <w:name w:val="cat-Sum grp-8 rplc-6"/>
    <w:basedOn w:val="DefaultParagraphFont"/>
  </w:style>
  <w:style w:type="character" w:customStyle="1" w:styleId="cat-Sumgrp-9rplc-7">
    <w:name w:val="cat-Sum grp-9 rplc-7"/>
    <w:basedOn w:val="DefaultParagraphFont"/>
  </w:style>
  <w:style w:type="character" w:customStyle="1" w:styleId="cat-Sumgrp-7rplc-8">
    <w:name w:val="cat-Sum grp-7 rplc-8"/>
    <w:basedOn w:val="DefaultParagraphFont"/>
  </w:style>
  <w:style w:type="character" w:customStyle="1" w:styleId="cat-Sumgrp-9rplc-9">
    <w:name w:val="cat-Sum grp-9 rplc-9"/>
    <w:basedOn w:val="DefaultParagraphFont"/>
  </w:style>
  <w:style w:type="character" w:customStyle="1" w:styleId="cat-Sumgrp-9rplc-10">
    <w:name w:val="cat-Sum grp-9 rplc-10"/>
    <w:basedOn w:val="DefaultParagraphFont"/>
  </w:style>
  <w:style w:type="character" w:customStyle="1" w:styleId="cat-Sumgrp-7rplc-11">
    <w:name w:val="cat-Sum grp-7 rplc-11"/>
    <w:basedOn w:val="DefaultParagraphFont"/>
  </w:style>
  <w:style w:type="character" w:customStyle="1" w:styleId="cat-Sumgrp-10rplc-12">
    <w:name w:val="cat-Sum grp-10 rplc-12"/>
    <w:basedOn w:val="DefaultParagraphFont"/>
  </w:style>
  <w:style w:type="character" w:customStyle="1" w:styleId="cat-Sumgrp-11rplc-13">
    <w:name w:val="cat-Sum grp-11 rplc-13"/>
    <w:basedOn w:val="DefaultParagraphFont"/>
  </w:style>
  <w:style w:type="character" w:customStyle="1" w:styleId="cat-Sumgrp-12rplc-14">
    <w:name w:val="cat-Sum grp-12 rplc-14"/>
    <w:basedOn w:val="DefaultParagraphFont"/>
  </w:style>
  <w:style w:type="character" w:customStyle="1" w:styleId="cat-Sumgrp-7rplc-15">
    <w:name w:val="cat-Sum grp-7 rplc-15"/>
    <w:basedOn w:val="DefaultParagraphFont"/>
  </w:style>
  <w:style w:type="character" w:customStyle="1" w:styleId="cat-Sumgrp-13rplc-16">
    <w:name w:val="cat-Sum grp-13 rplc-16"/>
    <w:basedOn w:val="DefaultParagraphFont"/>
  </w:style>
  <w:style w:type="character" w:customStyle="1" w:styleId="cat-FIOgrp-2rplc-17">
    <w:name w:val="cat-FIO grp-2 rplc-17"/>
    <w:basedOn w:val="DefaultParagraphFont"/>
  </w:style>
  <w:style w:type="character" w:customStyle="1" w:styleId="cat-FIOgrp-5rplc-18">
    <w:name w:val="cat-FIO grp-5 rplc-18"/>
    <w:basedOn w:val="DefaultParagraphFont"/>
  </w:style>
  <w:style w:type="character" w:customStyle="1" w:styleId="cat-Sumgrp-14rplc-19">
    <w:name w:val="cat-Sum grp-14 rplc-19"/>
    <w:basedOn w:val="DefaultParagraphFont"/>
  </w:style>
  <w:style w:type="character" w:customStyle="1" w:styleId="cat-Sumgrp-13rplc-20">
    <w:name w:val="cat-Sum grp-13 rplc-20"/>
    <w:basedOn w:val="DefaultParagraphFont"/>
  </w:style>
  <w:style w:type="character" w:customStyle="1" w:styleId="cat-Addressgrp-1rplc-21">
    <w:name w:val="cat-Address grp-1 rplc-21"/>
    <w:basedOn w:val="DefaultParagraphFont"/>
  </w:style>
  <w:style w:type="character" w:customStyle="1" w:styleId="cat-FIOgrp-6rplc-22">
    <w:name w:val="cat-FIO grp-6 rplc-22"/>
    <w:basedOn w:val="DefaultParagraphFont"/>
  </w:style>
  <w:style w:type="character" w:customStyle="1" w:styleId="cat-Addressgrp-0rplc-23">
    <w:name w:val="cat-Address grp-0 rplc-23"/>
    <w:basedOn w:val="DefaultParagraphFont"/>
  </w:style>
  <w:style w:type="character" w:customStyle="1" w:styleId="cat-Addressgrp-1rplc-24">
    <w:name w:val="cat-Address grp-1 rplc-24"/>
    <w:basedOn w:val="DefaultParagraphFont"/>
  </w:style>
  <w:style w:type="character" w:customStyle="1" w:styleId="cat-FIOgrp-4rplc-26">
    <w:name w:val="cat-FIO grp-4 rplc-26"/>
    <w:basedOn w:val="DefaultParagraphFont"/>
  </w:style>
  <w:style w:type="character" w:customStyle="1" w:styleId="cat-FIOgrp-2rplc-27">
    <w:name w:val="cat-FIO grp-2 rplc-27"/>
    <w:basedOn w:val="DefaultParagraphFont"/>
  </w:style>
  <w:style w:type="character" w:customStyle="1" w:styleId="cat-FIOgrp-2rplc-28">
    <w:name w:val="cat-FIO grp-2 rplc-28"/>
    <w:basedOn w:val="DefaultParagraphFont"/>
  </w:style>
  <w:style w:type="character" w:customStyle="1" w:styleId="cat-FIOgrp-5rplc-29">
    <w:name w:val="cat-FIO grp-5 rplc-29"/>
    <w:basedOn w:val="DefaultParagraphFont"/>
  </w:style>
  <w:style w:type="character" w:customStyle="1" w:styleId="cat-Sumgrp-14rplc-30">
    <w:name w:val="cat-Sum grp-14 rplc-30"/>
    <w:basedOn w:val="DefaultParagraphFont"/>
  </w:style>
  <w:style w:type="character" w:customStyle="1" w:styleId="cat-Sumgrp-13rplc-31">
    <w:name w:val="cat-Sum grp-13 rplc-31"/>
    <w:basedOn w:val="DefaultParagraphFont"/>
  </w:style>
  <w:style w:type="character" w:customStyle="1" w:styleId="cat-Addressgrp-1rplc-32">
    <w:name w:val="cat-Address grp-1 rplc-32"/>
    <w:basedOn w:val="DefaultParagraphFont"/>
  </w:style>
  <w:style w:type="character" w:customStyle="1" w:styleId="cat-FIOgrp-6rplc-33">
    <w:name w:val="cat-FIO grp-6 rplc-33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