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jc w:val="center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РЕШЕНИЕ</w:t>
      </w:r>
    </w:p>
    <w:p>
      <w:pPr>
        <w:spacing w:before="0" w:after="0"/>
        <w:jc w:val="center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Именем Российской Федерации</w:t>
      </w:r>
    </w:p>
    <w:p>
      <w:pPr>
        <w:spacing w:before="0" w:after="0"/>
        <w:jc w:val="center"/>
        <w:rPr>
          <w:sz w:val="26"/>
          <w:szCs w:val="26"/>
        </w:rPr>
      </w:pPr>
    </w:p>
    <w:p>
      <w:pPr>
        <w:spacing w:before="0" w:after="0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          </w:t>
      </w:r>
      <w:r>
        <w:rPr>
          <w:rStyle w:val="cat-Dategrp-2rplc-0"/>
          <w:rFonts w:ascii="Times New Roman CYR" w:eastAsia="Times New Roman CYR" w:hAnsi="Times New Roman CYR" w:cs="Times New Roman CYR"/>
          <w:sz w:val="26"/>
          <w:szCs w:val="26"/>
          <w:highlight w:val="none"/>
        </w:rPr>
        <w:t>дата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Style w:val="cat-Addressgrp-0rplc-1"/>
          <w:rFonts w:ascii="Times New Roman CYR" w:eastAsia="Times New Roman CYR" w:hAnsi="Times New Roman CYR" w:cs="Times New Roman CYR"/>
          <w:sz w:val="26"/>
          <w:szCs w:val="26"/>
          <w:highlight w:val="none"/>
        </w:rPr>
        <w:t>адрес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Мотивиро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ванное решение изготовлено </w:t>
      </w:r>
      <w:r>
        <w:rPr>
          <w:rStyle w:val="cat-Dategrp-3rplc-2"/>
          <w:rFonts w:ascii="Times New Roman CYR" w:eastAsia="Times New Roman CYR" w:hAnsi="Times New Roman CYR" w:cs="Times New Roman CYR"/>
          <w:sz w:val="26"/>
          <w:szCs w:val="26"/>
          <w:highlight w:val="none"/>
        </w:rPr>
        <w:t>дата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Пресненский районный суд </w:t>
      </w:r>
      <w:r>
        <w:rPr>
          <w:rStyle w:val="cat-Addressgrp-1rplc-3"/>
          <w:rFonts w:ascii="Times New Roman CYR" w:eastAsia="Times New Roman CYR" w:hAnsi="Times New Roman CYR" w:cs="Times New Roman CYR"/>
          <w:sz w:val="26"/>
          <w:szCs w:val="26"/>
          <w:highlight w:val="none"/>
        </w:rPr>
        <w:t>адрес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в составе председательствующего судьи Каржавиной Н.С., при секретаре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Style w:val="cat-FIOgrp-10rplc-5"/>
          <w:rFonts w:ascii="Times New Roman CYR" w:eastAsia="Times New Roman CYR" w:hAnsi="Times New Roman CYR" w:cs="Times New Roman CYR"/>
          <w:sz w:val="26"/>
          <w:szCs w:val="26"/>
          <w:highlight w:val="none"/>
        </w:rPr>
        <w:t>фио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, рассмотрев в открытом судебном заседании гражданское дело </w:t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№ 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-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3539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/</w:t>
      </w:r>
      <w:r>
        <w:rPr>
          <w:rStyle w:val="cat-Dategrp-4rplc-6"/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дата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по исковому заявлению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в лице филиала – Московский банк ПАО Сбербанк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Санникову Михаилу Юрьевичу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 расторжении кредитного договора, и взыскании задолженности по кредитному договору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</w:p>
    <w:p>
      <w:pPr>
        <w:spacing w:before="0" w:after="0"/>
        <w:ind w:firstLine="709"/>
        <w:jc w:val="both"/>
        <w:rPr>
          <w:sz w:val="26"/>
          <w:szCs w:val="26"/>
        </w:rPr>
      </w:pPr>
    </w:p>
    <w:p>
      <w:pPr>
        <w:spacing w:before="0" w:after="0"/>
        <w:ind w:firstLine="709"/>
        <w:jc w:val="center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УСТАНОВИЛ:</w:t>
      </w:r>
    </w:p>
    <w:p>
      <w:pPr>
        <w:spacing w:before="0" w:after="0"/>
        <w:ind w:firstLine="709"/>
        <w:jc w:val="both"/>
        <w:rPr>
          <w:sz w:val="26"/>
          <w:szCs w:val="26"/>
        </w:rPr>
      </w:pP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в лице филиала – Московский банк ПАО Сбербанк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обратил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ось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 суд с иском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 расторжении кредитного договора, и взыскании задолженности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кредитному договору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мотивируя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свои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требовани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ем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что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Style w:val="cat-Dategrp-5rplc-8"/>
          <w:rFonts w:ascii="Times New Roman" w:eastAsia="Times New Roman" w:hAnsi="Times New Roman" w:cs="Times New Roman"/>
          <w:sz w:val="26"/>
          <w:szCs w:val="26"/>
          <w:highlight w:val="none"/>
        </w:rPr>
        <w:t>дата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между ПА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 Сбербанк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России и Санниковым Михаилом Юрьевичем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был заключен кредитный договор на сумму </w:t>
      </w:r>
      <w:r>
        <w:rPr>
          <w:rStyle w:val="cat-Sumgrp-14rplc-10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сроком на 60 месяцев, под 12,6 % годовых. В соответствии с индивидуальными условиями кредитования, Банк перечислил Заемщику денежные средства в сумме </w:t>
      </w:r>
      <w:r>
        <w:rPr>
          <w:rStyle w:val="cat-Sumgrp-14rplc-11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индивидуальным условиям кредитования, и общим условиями кредитования, п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огашение кредита и уплата процентов должны производиться Заемщиком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ежемесячно,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аннуитетными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платежами в соответствии с графиком платежей. В течение действия договора ответчик неоднократно нарушал условия кредитного договора в части сроков и сумм ежемесячных платежей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в связи, с чем у ответчика образовалось задолженность и истец просит суд: </w:t>
      </w:r>
    </w:p>
    <w:p>
      <w:pPr>
        <w:numPr>
          <w:ilvl w:val="0"/>
          <w:numId w:val="1"/>
        </w:numPr>
        <w:tabs>
          <w:tab w:val="left" w:pos="1416"/>
        </w:tabs>
        <w:spacing w:before="0"/>
        <w:ind w:left="0" w:righ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Расторгнуть кредитный договор № 92821027, заключенный </w:t>
      </w:r>
      <w:r>
        <w:rPr>
          <w:rStyle w:val="cat-Dategrp-5rplc-12"/>
          <w:rFonts w:ascii="Times New Roman" w:eastAsia="Times New Roman" w:hAnsi="Times New Roman" w:cs="Times New Roman"/>
          <w:sz w:val="26"/>
          <w:szCs w:val="26"/>
          <w:highlight w:val="none"/>
        </w:rPr>
        <w:t>дата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между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ПАО Сбербанк в лице филиала – Московский банк ПАО Сбербанк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 Санниковым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Михаилом Юрьевичем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numPr>
          <w:ilvl w:val="0"/>
          <w:numId w:val="1"/>
        </w:numPr>
        <w:tabs>
          <w:tab w:val="left" w:pos="1416"/>
        </w:tabs>
        <w:ind w:left="0" w:righ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Взыскать в пользу ПАО Сбербанк в лице филиала – Московский банк ПАО Сбербанк 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Санникова Михаила Юрьевича задолженность по кредитному договору № 92821027 от </w:t>
      </w:r>
      <w:r>
        <w:rPr>
          <w:rStyle w:val="cat-Dategrp-5rplc-15"/>
          <w:rFonts w:ascii="Times New Roman" w:eastAsia="Times New Roman" w:hAnsi="Times New Roman" w:cs="Times New Roman"/>
          <w:sz w:val="26"/>
          <w:szCs w:val="26"/>
          <w:highlight w:val="none"/>
        </w:rPr>
        <w:t>дата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за период по </w:t>
      </w:r>
      <w:r>
        <w:rPr>
          <w:rStyle w:val="cat-Dategrp-6rplc-16"/>
          <w:rFonts w:ascii="Times New Roman" w:eastAsia="Times New Roman" w:hAnsi="Times New Roman" w:cs="Times New Roman"/>
          <w:sz w:val="26"/>
          <w:szCs w:val="26"/>
          <w:highlight w:val="none"/>
        </w:rPr>
        <w:t>дата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(включительно) в размере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  <w:r>
        <w:rPr>
          <w:rStyle w:val="cat-Sumgrp-15rplc-17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</w:p>
    <w:p>
      <w:pPr>
        <w:numPr>
          <w:ilvl w:val="0"/>
          <w:numId w:val="1"/>
        </w:numPr>
        <w:tabs>
          <w:tab w:val="left" w:pos="1416"/>
        </w:tabs>
        <w:spacing w:after="0"/>
        <w:ind w:left="0" w:righ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Взыскать в пользу ПАО Сбербанк в лице филиала – Московский банк ПАО Сбербанк с Санникова Михаила Юрьевича судебные расходы по оплате государственной пошлины в размере </w:t>
      </w:r>
      <w:r>
        <w:rPr>
          <w:rStyle w:val="cat-Sumgrp-16rplc-19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Истец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судебное заседание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явился,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просил о рассмотрении дела в свое отсутствие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Ответчик в судебное заседание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не явился, о дате и времени судебного заседания извещен судом надлежащим образом, причины неявки суду не представил, ходатайств об отложении судебного заседания не заявлял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Суд считает возможным рассмотреть дело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отсутствие сторон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ст.167 ГПК РФ.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сследовав материалы дела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 изучив представленные доказательства, суд приходит к выводу, что исковые требования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в лице филиала – Московский банк ПАО Сбербанк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подлежат удовлетворению по следующим основаниям.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силу ст.421 ГК РФ стороны свободны в заключени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договора, и самостоятельно определяют все его условия.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статье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положениями о займе, если иное не предусмотрено положениями статей о кредитном договоре и не вытекает из существа кредитного договора.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ст.809 ГК РФ, если иное не предусмотрено законом или договором займа, заимодавец имеет право на получение с заемщика процентов на сумму займа в размерах и в порядке, определенных договором.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силу пункта 1 статьи 810 Гражданского кодекса Российской Федерации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Согласно ч.2 ст.811 ГК РФ </w:t>
      </w:r>
      <w:r>
        <w:rPr>
          <w:rStyle w:val="cat-OrganizationNamegrp-22rplc-20"/>
          <w:rFonts w:ascii="Times New Roman" w:eastAsia="Times New Roman" w:hAnsi="Times New Roman" w:cs="Times New Roman"/>
          <w:sz w:val="26"/>
          <w:szCs w:val="26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имеет право в случае не выполнения заемщиком, предусмотренных договором обязанностей потребовать досрочного возврата всей оставшейся суммы кредита с причитающимися процентами за пользование кредитом и неустойкой.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соответствии со ст. 395 ГК РФ за неправомерное удержание денежных средств, уклонение от их возврата, иную просрочку в их уплате предусмотрена ответственность в виде уплаты процентов на сумму долга.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Судом установлено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что </w:t>
      </w:r>
      <w:r>
        <w:rPr>
          <w:rStyle w:val="cat-Dategrp-5rplc-21"/>
          <w:rFonts w:ascii="Times New Roman" w:eastAsia="Times New Roman" w:hAnsi="Times New Roman" w:cs="Times New Roman"/>
          <w:sz w:val="26"/>
          <w:szCs w:val="26"/>
          <w:highlight w:val="none"/>
        </w:rPr>
        <w:t>дата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между ПАО Сбербанк России и Санниковым Михаилом Юрьевичем был заключен кредитный договор на сумму </w:t>
      </w:r>
      <w:r>
        <w:rPr>
          <w:rStyle w:val="cat-Sumgrp-14rplc-23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сроком на 60 месяцев, под 12,6 % годовых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(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л.д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 23-25)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Во исполнение заключенного договора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и в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соответствии с индивидуальными условиями кредитования, Банк перечислил Заемщику денежные средства в сумме </w:t>
      </w:r>
      <w:r>
        <w:rPr>
          <w:rStyle w:val="cat-Sumgrp-14rplc-24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Согласно индивидуальным условиям кредитования, и общим условиями кредитования, погашение кредита и уплата процентов должны производиться Заемщиком ежемесячно,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аннуитетными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платежами в соответствии с графиком платежей.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Согласно п. 12 кредитного договора, за несвоевременное перечисление платежа в погашение кредита и/или уплату процентов за пользование кредитом (в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соответствии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с п.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3.3.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Общих условий кредитования)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размере 20 % годовых с суммы просроченного платежа за период просрочки с даты, следующей за датой наступления исполнения обязательства, установленной Договором, по дату погашения просроченной задолженности по договору (включительно).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выписке по счету Заёмщик воспользовался денежными средствами из предоставленной ему суммы кредитования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Как указал истец, в настоящее время Заёмщик принятые на се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бя обязательства не исполняет: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платежи по кредиту не вносит и проценты за пользование денежными средствами не уплачивает.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Согласно Расчету задолженности сумма задолженности Заёмщика перед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ПАО Сбербанк в лице филиала – Московский банк ПАО Сбербанк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составляет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2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 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510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 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992,</w:t>
      </w:r>
      <w:r>
        <w:rPr>
          <w:rStyle w:val="cat-Sumgrp-17rplc-25"/>
          <w:rFonts w:ascii="Times New Roman CYR" w:eastAsia="Times New Roman CYR" w:hAnsi="Times New Roman CYR" w:cs="Times New Roman CYR"/>
          <w:sz w:val="26"/>
          <w:szCs w:val="26"/>
          <w:highlight w:val="none"/>
        </w:rPr>
        <w:t>сумма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(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л.д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. 7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)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, а именно:</w:t>
      </w:r>
    </w:p>
    <w:p>
      <w:pPr>
        <w:numPr>
          <w:ilvl w:val="0"/>
          <w:numId w:val="2"/>
        </w:numPr>
        <w:pBdr>
          <w:left w:val="none" w:sz="0" w:space="7" w:color="auto"/>
        </w:pBdr>
        <w:spacing w:before="0"/>
        <w:ind w:left="720" w:right="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просроченный основной долг –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2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 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202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 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112,</w:t>
      </w:r>
      <w:r>
        <w:rPr>
          <w:rStyle w:val="cat-Sumgrp-21rplc-26"/>
          <w:rFonts w:ascii="Times New Roman CYR" w:eastAsia="Times New Roman CYR" w:hAnsi="Times New Roman CYR" w:cs="Times New Roman CYR"/>
          <w:sz w:val="26"/>
          <w:szCs w:val="26"/>
          <w:highlight w:val="none"/>
        </w:rPr>
        <w:t>сумма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;</w:t>
      </w:r>
    </w:p>
    <w:p>
      <w:pPr>
        <w:numPr>
          <w:ilvl w:val="0"/>
          <w:numId w:val="2"/>
        </w:numPr>
        <w:pBdr>
          <w:left w:val="none" w:sz="0" w:space="7" w:color="auto"/>
        </w:pBdr>
        <w:ind w:left="720" w:right="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просроченные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проценты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–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Style w:val="cat-Sumgrp-18rplc-27"/>
          <w:rFonts w:ascii="Times New Roman CYR" w:eastAsia="Times New Roman CYR" w:hAnsi="Times New Roman CYR" w:cs="Times New Roman CYR"/>
          <w:sz w:val="26"/>
          <w:szCs w:val="26"/>
          <w:highlight w:val="none"/>
        </w:rPr>
        <w:t>сумма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;</w:t>
      </w:r>
    </w:p>
    <w:p>
      <w:pPr>
        <w:numPr>
          <w:ilvl w:val="0"/>
          <w:numId w:val="2"/>
        </w:numPr>
        <w:pBdr>
          <w:left w:val="none" w:sz="0" w:space="7" w:color="auto"/>
        </w:pBdr>
        <w:ind w:left="720" w:right="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неустойк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за просроченный основной долг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–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Style w:val="cat-Sumgrp-19rplc-28"/>
          <w:rFonts w:ascii="Times New Roman CYR" w:eastAsia="Times New Roman CYR" w:hAnsi="Times New Roman CYR" w:cs="Times New Roman CYR"/>
          <w:sz w:val="26"/>
          <w:szCs w:val="26"/>
          <w:highlight w:val="none"/>
        </w:rPr>
        <w:t>сумма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;</w:t>
      </w:r>
    </w:p>
    <w:p>
      <w:pPr>
        <w:numPr>
          <w:ilvl w:val="0"/>
          <w:numId w:val="2"/>
        </w:numPr>
        <w:pBdr>
          <w:left w:val="none" w:sz="0" w:space="7" w:color="auto"/>
        </w:pBdr>
        <w:spacing w:after="0"/>
        <w:ind w:left="720" w:right="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неуст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ойка за просроченные проценты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–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Style w:val="cat-Sumgrp-20rplc-29"/>
          <w:rFonts w:ascii="Times New Roman CYR" w:eastAsia="Times New Roman CYR" w:hAnsi="Times New Roman CYR" w:cs="Times New Roman CYR"/>
          <w:sz w:val="26"/>
          <w:szCs w:val="26"/>
          <w:highlight w:val="none"/>
        </w:rPr>
        <w:t>сумма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;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Вышеуказанная задолженность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образовалась по состоянию на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Style w:val="cat-Dategrp-6rplc-30"/>
          <w:rFonts w:ascii="Times New Roman CYR" w:eastAsia="Times New Roman CYR" w:hAnsi="Times New Roman CYR" w:cs="Times New Roman CYR"/>
          <w:sz w:val="26"/>
          <w:szCs w:val="26"/>
          <w:highlight w:val="none"/>
        </w:rPr>
        <w:t>дата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Правильность расчета задолженности, представленного истцом, в соответствии со ст.56 ГПК РФ ответчик не оспорил.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Как следует из искового заявления, претензия истца от </w:t>
      </w:r>
      <w:r>
        <w:rPr>
          <w:rStyle w:val="cat-Dategrp-7rplc-31"/>
          <w:rFonts w:ascii="Times New Roman CYR" w:eastAsia="Times New Roman CYR" w:hAnsi="Times New Roman CYR" w:cs="Times New Roman CYR"/>
          <w:sz w:val="26"/>
          <w:szCs w:val="26"/>
          <w:highlight w:val="none"/>
        </w:rPr>
        <w:t>дата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с просьбой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возвратить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задолженность по кредитному договору, в противном случае Банк, сообщил о расторжении кредитного договора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, ответчиком оставлена без удовлетворения.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Согласно п.п.1 п. 2 ст. 450 ГК РФ, по требованию одной из сторон,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договор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может быть расторгнут по решению суда при существенном нарушении договора другой стороной. При этом 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Согласно ч.2 ст. 452 ГК РФ требование об изменении или о расторжении договора может быть заявлено стороной в суд только после получения отказа другой стороны на предложение изменить или расторгнуть договор либо неполучения ответа в срок, указанный в предложении или установленный законом либо договором, а при его отсутствии - в тридцатидневный срок.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Принимая во внимание, что в ходе рассмотрения дела ответчик не представил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суду доказательств испол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нения кредитного договора, а именно своевременной выплаты ежемесячных платежей и процентов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, суд приходит к выводу о том, что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№ 92821027, заключенный </w:t>
      </w:r>
      <w:r>
        <w:rPr>
          <w:rStyle w:val="cat-Dategrp-5rplc-32"/>
          <w:rFonts w:ascii="Times New Roman CYR" w:eastAsia="Times New Roman CYR" w:hAnsi="Times New Roman CYR" w:cs="Times New Roman CYR"/>
          <w:sz w:val="26"/>
          <w:szCs w:val="26"/>
          <w:highlight w:val="none"/>
        </w:rPr>
        <w:t>дата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между ПАО Сбербанк в лице филиала – Московский банк ПАО Сбербанк и Санниковым Михаилом Юрьевичем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, подлежит расторжению, в связи с существенным нарушением условий договора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со стороны ответчика.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В соответствии с п. 2 ст. 453 ГК РФ при расторжении договора обязательства сторон прекращаются, если иное не предусмотрено законом, договором или не вытекает из существа обязательства.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 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В соответствии с п. 4 ст. 453 ГК РФ Стороны не вправе требовать возвращения того, что было исполнено ими по обязательству до момента изменения или расторжения договора, если иное не установлено законом или соглашением сторон.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В случае, когда до расторжения или изменения договора одна из сторон, получив от другой стороны исполнение обязательства по договору, не исполнила свое обязательство либо предоставила другой стороне неравноценное исполнение, к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отношениям сторон применяются правила об обязательствах вследствие неосновательного обогащения (глава 60), если иное не предусмотрено законом или договором либо не вытекает из существа обязательства.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В силу ст.309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На основании ст.310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Поскольку ответчиком не представлены доказательства надлежащего исполнения своих обязательств по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кредитному договору № 92821027 от </w:t>
      </w:r>
      <w:r>
        <w:rPr>
          <w:rStyle w:val="cat-Dategrp-5rplc-34"/>
          <w:rFonts w:ascii="Times New Roman CYR" w:eastAsia="Times New Roman CYR" w:hAnsi="Times New Roman CYR" w:cs="Times New Roman CYR"/>
          <w:sz w:val="26"/>
          <w:szCs w:val="26"/>
          <w:highlight w:val="none"/>
        </w:rPr>
        <w:t>дата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, суд считает исковые требования о взыскании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суммы задолженности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с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Санникова Михаила Юрьевича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за период по </w:t>
      </w:r>
      <w:r>
        <w:rPr>
          <w:rStyle w:val="cat-Dategrp-6rplc-36"/>
          <w:rFonts w:ascii="Times New Roman CYR" w:eastAsia="Times New Roman CYR" w:hAnsi="Times New Roman CYR" w:cs="Times New Roman CYR"/>
          <w:sz w:val="26"/>
          <w:szCs w:val="26"/>
          <w:highlight w:val="none"/>
        </w:rPr>
        <w:t>дата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(включительно) в размере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 </w:t>
      </w:r>
      <w:r>
        <w:rPr>
          <w:rStyle w:val="cat-Sumgrp-15rplc-37"/>
          <w:rFonts w:ascii="Times New Roman CYR" w:eastAsia="Times New Roman CYR" w:hAnsi="Times New Roman CYR" w:cs="Times New Roman CYR"/>
          <w:sz w:val="26"/>
          <w:szCs w:val="26"/>
          <w:highlight w:val="none"/>
        </w:rPr>
        <w:t>сумма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, подлежащими удовлетворению.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В силу ч. 1 ст.98 ГПК РФ с ответчика подлежат взысканию расходы, затраченные истцом на оплату государственной пошлины в размере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 </w:t>
      </w:r>
      <w:r>
        <w:rPr>
          <w:rStyle w:val="cat-Sumgrp-16rplc-38"/>
          <w:rFonts w:ascii="Times New Roman CYR" w:eastAsia="Times New Roman CYR" w:hAnsi="Times New Roman CYR" w:cs="Times New Roman CYR"/>
          <w:sz w:val="26"/>
          <w:szCs w:val="26"/>
          <w:highlight w:val="none"/>
        </w:rPr>
        <w:t>сумма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а также руководствуясь ст.ст.194-198 ГПК РФ, суд</w:t>
      </w:r>
    </w:p>
    <w:p>
      <w:pPr>
        <w:spacing w:before="0" w:after="0"/>
        <w:ind w:firstLine="709"/>
        <w:jc w:val="both"/>
        <w:rPr>
          <w:sz w:val="26"/>
          <w:szCs w:val="26"/>
        </w:rPr>
      </w:pPr>
    </w:p>
    <w:p>
      <w:pPr>
        <w:spacing w:before="0" w:after="0"/>
        <w:ind w:firstLine="709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РЕШИЛ:</w:t>
      </w:r>
    </w:p>
    <w:p>
      <w:pPr>
        <w:spacing w:before="0" w:after="0"/>
        <w:ind w:firstLine="709"/>
        <w:jc w:val="both"/>
        <w:rPr>
          <w:sz w:val="26"/>
          <w:szCs w:val="26"/>
        </w:rPr>
      </w:pP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Исковые требования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ПАО Сбербанк в лице филиала – Московский банк ПАО Сбербанк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-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удовлетворить.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Расторгнуть кредитный договор № 92821027, заключенный </w:t>
      </w:r>
      <w:r>
        <w:rPr>
          <w:rStyle w:val="cat-Dategrp-5rplc-39"/>
          <w:rFonts w:ascii="Times New Roman" w:eastAsia="Times New Roman" w:hAnsi="Times New Roman" w:cs="Times New Roman"/>
          <w:sz w:val="26"/>
          <w:szCs w:val="26"/>
          <w:highlight w:val="none"/>
        </w:rPr>
        <w:t>дата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между ПАО Сбербанк в лице филиала – Московский банк ПАО Сбербанк и Санниковым Михаилом Юрьевичем.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Взыскать в пользу ПАО Сбербанк в лице филиала – Московский банк ПАО Сбербанк с Санникова Михаила Юрьевича задолженность по кредитному договору № 92821027 от </w:t>
      </w:r>
      <w:r>
        <w:rPr>
          <w:rStyle w:val="cat-Dategrp-5rplc-42"/>
          <w:rFonts w:ascii="Times New Roman" w:eastAsia="Times New Roman" w:hAnsi="Times New Roman" w:cs="Times New Roman"/>
          <w:sz w:val="26"/>
          <w:szCs w:val="26"/>
          <w:highlight w:val="none"/>
        </w:rPr>
        <w:t>дата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за период по </w:t>
      </w:r>
      <w:r>
        <w:rPr>
          <w:rStyle w:val="cat-Dategrp-6rplc-43"/>
          <w:rFonts w:ascii="Times New Roman" w:eastAsia="Times New Roman" w:hAnsi="Times New Roman" w:cs="Times New Roman"/>
          <w:sz w:val="26"/>
          <w:szCs w:val="26"/>
          <w:highlight w:val="none"/>
        </w:rPr>
        <w:t>дата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(включительно) в размере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  <w:r>
        <w:rPr>
          <w:rStyle w:val="cat-Sumgrp-15rplc-44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Взыскать в пользу ПАО Сбербанк в лице филиала – Московский банк ПАО Сбербанк с Санникова Михаила Юрьевича судебные расходы по оплате государственной пошлины в размере </w:t>
      </w:r>
      <w:r>
        <w:rPr>
          <w:rStyle w:val="cat-Sumgrp-16rplc-46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Решение может быть обжаловано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Мосгорсуд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апелляционном порядке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течение одного месяца 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даты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принятия судом решения в окончательной форме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через районный суд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20"/>
        <w:jc w:val="both"/>
        <w:rPr>
          <w:sz w:val="26"/>
          <w:szCs w:val="26"/>
        </w:rPr>
      </w:pPr>
    </w:p>
    <w:p>
      <w:pPr>
        <w:spacing w:before="0" w:after="0"/>
        <w:ind w:firstLine="720"/>
        <w:jc w:val="both"/>
        <w:rPr>
          <w:sz w:val="26"/>
          <w:szCs w:val="26"/>
        </w:rPr>
      </w:pP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Судья</w:t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Style w:val="cat-FIOgrp-13rplc-47"/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фио</w:t>
      </w:r>
      <w:r>
        <w:rPr>
          <w:rFonts w:ascii="Calibri" w:eastAsia="Calibri" w:hAnsi="Calibri" w:cs="Calibri"/>
          <w:sz w:val="26"/>
          <w:szCs w:val="26"/>
          <w:highlight w:val="none"/>
        </w:rPr>
        <w:t xml:space="preserve"> </w:t>
      </w:r>
    </w:p>
    <w:sectPr>
      <w:headerReference w:type="default" r:id="rId4"/>
      <w:footerReference w:type="default" r:id="rId5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966647"/>
      <w:placeholder>
        <w:docPart w:val="DefaultPlaceholder_22675703"/>
      </w:placeholder>
      <w:showingPlcHdr/>
      <w:richText/>
    </w:sdtPr>
    <w:sdtContent>
      <w:p>
        <w:pPr>
          <w:spacing w:before="0" w:after="0"/>
          <w:jc w:val="right"/>
          <w:rPr>
            <w:sz w:val="22"/>
            <w:szCs w:val="22"/>
          </w:rPr>
        </w:pPr>
        <w:r>
          <w:rPr>
            <w:sz w:val="22"/>
            <w:szCs w:val="22"/>
          </w:rPr>
          <w:fldChar w:fldCharType="begin"/>
        </w:r>
        <w:r>
          <w:rPr>
            <w:sz w:val="22"/>
            <w:szCs w:val="22"/>
            <w:highlight w:val="none"/>
          </w:rPr>
          <w:instrText>PAGE   \* MERGEFORMAT</w:instrText>
        </w:r>
        <w:r>
          <w:rPr>
            <w:sz w:val="22"/>
            <w:szCs w:val="22"/>
          </w:rPr>
          <w:fldChar w:fldCharType="separate"/>
        </w:r>
        <w:r>
          <w:rPr>
            <w:rFonts w:ascii="Calibri" w:eastAsia="Calibri" w:hAnsi="Calibri" w:cs="Calibri"/>
            <w:sz w:val="22"/>
            <w:szCs w:val="22"/>
            <w:highlight w:val="none"/>
          </w:rPr>
          <w:t>1</w:t>
        </w:r>
        <w:r>
          <w:rPr>
            <w:rFonts w:ascii="Calibri" w:eastAsia="Calibri" w:hAnsi="Calibri" w:cs="Calibri"/>
            <w:sz w:val="22"/>
            <w:szCs w:val="22"/>
          </w:rPr>
          <w:fldChar w:fldCharType="end"/>
        </w:r>
      </w:p>
    </w:sdtContent>
  </w:sdt>
  <w:p>
    <w:pPr>
      <w:spacing w:before="0" w:after="0"/>
      <w:rPr>
        <w:sz w:val="22"/>
        <w:szCs w:val="2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rPr>
        <w:sz w:val="22"/>
        <w:szCs w:val="22"/>
      </w:rPr>
    </w:pPr>
    <w:r>
      <w:rPr>
        <w:rFonts w:ascii="Calibri" w:eastAsia="Calibri" w:hAnsi="Calibri" w:cs="Calibri"/>
        <w:sz w:val="22"/>
        <w:szCs w:val="22"/>
        <w:highlight w:val="none"/>
      </w:rPr>
      <w:t xml:space="preserve">Уникальный идентификатор дела </w:t>
    </w:r>
    <w:r>
      <w:rPr>
        <w:rFonts w:ascii="Calibri" w:eastAsia="Calibri" w:hAnsi="Calibri" w:cs="Calibri"/>
        <w:sz w:val="22"/>
        <w:szCs w:val="22"/>
        <w:highlight w:val="none"/>
      </w:rPr>
      <w:t>77RS0021-02-2022-003440-76</w:t>
    </w:r>
  </w:p>
  <w:p>
    <w:pPr>
      <w:spacing w:before="0" w:after="0"/>
      <w:rPr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Dategrp-2rplc-0">
    <w:name w:val="cat-Date grp-2 rplc-0"/>
    <w:basedOn w:val="DefaultParagraphFont"/>
  </w:style>
  <w:style w:type="character" w:customStyle="1" w:styleId="cat-Addressgrp-0rplc-1">
    <w:name w:val="cat-Address grp-0 rplc-1"/>
    <w:basedOn w:val="DefaultParagraphFont"/>
  </w:style>
  <w:style w:type="character" w:customStyle="1" w:styleId="cat-Dategrp-3rplc-2">
    <w:name w:val="cat-Date grp-3 rplc-2"/>
    <w:basedOn w:val="DefaultParagraphFont"/>
  </w:style>
  <w:style w:type="character" w:customStyle="1" w:styleId="cat-Addressgrp-1rplc-3">
    <w:name w:val="cat-Address grp-1 rplc-3"/>
    <w:basedOn w:val="DefaultParagraphFont"/>
  </w:style>
  <w:style w:type="character" w:customStyle="1" w:styleId="cat-FIOgrp-10rplc-5">
    <w:name w:val="cat-FIO grp-10 rplc-5"/>
    <w:basedOn w:val="DefaultParagraphFont"/>
  </w:style>
  <w:style w:type="character" w:customStyle="1" w:styleId="cat-Dategrp-4rplc-6">
    <w:name w:val="cat-Date grp-4 rplc-6"/>
    <w:basedOn w:val="DefaultParagraphFont"/>
  </w:style>
  <w:style w:type="character" w:customStyle="1" w:styleId="cat-Dategrp-5rplc-8">
    <w:name w:val="cat-Date grp-5 rplc-8"/>
    <w:basedOn w:val="DefaultParagraphFont"/>
  </w:style>
  <w:style w:type="character" w:customStyle="1" w:styleId="cat-Sumgrp-14rplc-10">
    <w:name w:val="cat-Sum grp-14 rplc-10"/>
    <w:basedOn w:val="DefaultParagraphFont"/>
  </w:style>
  <w:style w:type="character" w:customStyle="1" w:styleId="cat-Sumgrp-14rplc-11">
    <w:name w:val="cat-Sum grp-14 rplc-11"/>
    <w:basedOn w:val="DefaultParagraphFont"/>
  </w:style>
  <w:style w:type="character" w:customStyle="1" w:styleId="cat-Dategrp-5rplc-12">
    <w:name w:val="cat-Date grp-5 rplc-12"/>
    <w:basedOn w:val="DefaultParagraphFont"/>
  </w:style>
  <w:style w:type="character" w:customStyle="1" w:styleId="cat-Dategrp-5rplc-15">
    <w:name w:val="cat-Date grp-5 rplc-15"/>
    <w:basedOn w:val="DefaultParagraphFont"/>
  </w:style>
  <w:style w:type="character" w:customStyle="1" w:styleId="cat-Dategrp-6rplc-16">
    <w:name w:val="cat-Date grp-6 rplc-16"/>
    <w:basedOn w:val="DefaultParagraphFont"/>
  </w:style>
  <w:style w:type="character" w:customStyle="1" w:styleId="cat-Sumgrp-15rplc-17">
    <w:name w:val="cat-Sum grp-15 rplc-17"/>
    <w:basedOn w:val="DefaultParagraphFont"/>
  </w:style>
  <w:style w:type="character" w:customStyle="1" w:styleId="cat-Sumgrp-16rplc-19">
    <w:name w:val="cat-Sum grp-16 rplc-19"/>
    <w:basedOn w:val="DefaultParagraphFont"/>
  </w:style>
  <w:style w:type="character" w:customStyle="1" w:styleId="cat-OrganizationNamegrp-22rplc-20">
    <w:name w:val="cat-OrganizationName grp-22 rplc-20"/>
    <w:basedOn w:val="DefaultParagraphFont"/>
  </w:style>
  <w:style w:type="character" w:customStyle="1" w:styleId="cat-Dategrp-5rplc-21">
    <w:name w:val="cat-Date grp-5 rplc-21"/>
    <w:basedOn w:val="DefaultParagraphFont"/>
  </w:style>
  <w:style w:type="character" w:customStyle="1" w:styleId="cat-Sumgrp-14rplc-23">
    <w:name w:val="cat-Sum grp-14 rplc-23"/>
    <w:basedOn w:val="DefaultParagraphFont"/>
  </w:style>
  <w:style w:type="character" w:customStyle="1" w:styleId="cat-Sumgrp-14rplc-24">
    <w:name w:val="cat-Sum grp-14 rplc-24"/>
    <w:basedOn w:val="DefaultParagraphFont"/>
  </w:style>
  <w:style w:type="character" w:customStyle="1" w:styleId="cat-Sumgrp-17rplc-25">
    <w:name w:val="cat-Sum grp-17 rplc-25"/>
    <w:basedOn w:val="DefaultParagraphFont"/>
  </w:style>
  <w:style w:type="character" w:customStyle="1" w:styleId="cat-Sumgrp-21rplc-26">
    <w:name w:val="cat-Sum grp-21 rplc-26"/>
    <w:basedOn w:val="DefaultParagraphFont"/>
  </w:style>
  <w:style w:type="character" w:customStyle="1" w:styleId="cat-Sumgrp-18rplc-27">
    <w:name w:val="cat-Sum grp-18 rplc-27"/>
    <w:basedOn w:val="DefaultParagraphFont"/>
  </w:style>
  <w:style w:type="character" w:customStyle="1" w:styleId="cat-Sumgrp-19rplc-28">
    <w:name w:val="cat-Sum grp-19 rplc-28"/>
    <w:basedOn w:val="DefaultParagraphFont"/>
  </w:style>
  <w:style w:type="character" w:customStyle="1" w:styleId="cat-Sumgrp-20rplc-29">
    <w:name w:val="cat-Sum grp-20 rplc-29"/>
    <w:basedOn w:val="DefaultParagraphFont"/>
  </w:style>
  <w:style w:type="character" w:customStyle="1" w:styleId="cat-Dategrp-6rplc-30">
    <w:name w:val="cat-Date grp-6 rplc-30"/>
    <w:basedOn w:val="DefaultParagraphFont"/>
  </w:style>
  <w:style w:type="character" w:customStyle="1" w:styleId="cat-Dategrp-7rplc-31">
    <w:name w:val="cat-Date grp-7 rplc-31"/>
    <w:basedOn w:val="DefaultParagraphFont"/>
  </w:style>
  <w:style w:type="character" w:customStyle="1" w:styleId="cat-Dategrp-5rplc-32">
    <w:name w:val="cat-Date grp-5 rplc-32"/>
    <w:basedOn w:val="DefaultParagraphFont"/>
  </w:style>
  <w:style w:type="character" w:customStyle="1" w:styleId="cat-Dategrp-5rplc-34">
    <w:name w:val="cat-Date grp-5 rplc-34"/>
    <w:basedOn w:val="DefaultParagraphFont"/>
  </w:style>
  <w:style w:type="character" w:customStyle="1" w:styleId="cat-Dategrp-6rplc-36">
    <w:name w:val="cat-Date grp-6 rplc-36"/>
    <w:basedOn w:val="DefaultParagraphFont"/>
  </w:style>
  <w:style w:type="character" w:customStyle="1" w:styleId="cat-Sumgrp-15rplc-37">
    <w:name w:val="cat-Sum grp-15 rplc-37"/>
    <w:basedOn w:val="DefaultParagraphFont"/>
  </w:style>
  <w:style w:type="character" w:customStyle="1" w:styleId="cat-Sumgrp-16rplc-38">
    <w:name w:val="cat-Sum grp-16 rplc-38"/>
    <w:basedOn w:val="DefaultParagraphFont"/>
  </w:style>
  <w:style w:type="character" w:customStyle="1" w:styleId="cat-Dategrp-5rplc-39">
    <w:name w:val="cat-Date grp-5 rplc-39"/>
    <w:basedOn w:val="DefaultParagraphFont"/>
  </w:style>
  <w:style w:type="character" w:customStyle="1" w:styleId="cat-Dategrp-5rplc-42">
    <w:name w:val="cat-Date grp-5 rplc-42"/>
    <w:basedOn w:val="DefaultParagraphFont"/>
  </w:style>
  <w:style w:type="character" w:customStyle="1" w:styleId="cat-Dategrp-6rplc-43">
    <w:name w:val="cat-Date grp-6 rplc-43"/>
    <w:basedOn w:val="DefaultParagraphFont"/>
  </w:style>
  <w:style w:type="character" w:customStyle="1" w:styleId="cat-Sumgrp-15rplc-44">
    <w:name w:val="cat-Sum grp-15 rplc-44"/>
    <w:basedOn w:val="DefaultParagraphFont"/>
  </w:style>
  <w:style w:type="character" w:customStyle="1" w:styleId="cat-Sumgrp-16rplc-46">
    <w:name w:val="cat-Sum grp-16 rplc-46"/>
    <w:basedOn w:val="DefaultParagraphFont"/>
  </w:style>
  <w:style w:type="character" w:customStyle="1" w:styleId="cat-FIOgrp-13rplc-47">
    <w:name w:val="cat-FIO grp-13 rplc-47"/>
    <w:basedOn w:val="DefaultParagraphFont"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A2782-D53A-48C9-8247-9E86C6965D3E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/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