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ackground w:color="ffffff">
    <v:background id="_x0000_s1025" filled="t"/>
  </w:background>
  <w:body>
    <w:p w:rsidR="003D449B">
      <w:pPr>
        <w:ind w:firstLine="567"/>
        <w:jc w:val="center"/>
        <w:rPr>
          <w:sz w:val="25"/>
          <w:szCs w:val="25"/>
        </w:rPr>
      </w:pPr>
      <w:r>
        <w:rPr>
          <w:sz w:val="25"/>
          <w:szCs w:val="25"/>
          <w:highlight w:val="none"/>
        </w:rPr>
        <w:t>РЕШЕНИЕ</w:t>
      </w:r>
    </w:p>
    <w:p w:rsidR="003D449B">
      <w:pPr>
        <w:ind w:firstLine="567"/>
        <w:jc w:val="center"/>
        <w:rPr>
          <w:sz w:val="25"/>
          <w:szCs w:val="25"/>
        </w:rPr>
      </w:pPr>
      <w:r>
        <w:rPr>
          <w:sz w:val="25"/>
          <w:szCs w:val="25"/>
          <w:highlight w:val="none"/>
        </w:rPr>
        <w:t>именем Российской Федерации</w:t>
      </w:r>
    </w:p>
    <w:p w:rsidR="003D449B">
      <w:pPr>
        <w:ind w:firstLine="567"/>
        <w:jc w:val="both"/>
        <w:rPr>
          <w:sz w:val="25"/>
          <w:szCs w:val="25"/>
        </w:rPr>
      </w:pPr>
    </w:p>
    <w:p w:rsidR="003D449B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18 июня 2021года</w:t>
      </w:r>
      <w:r>
        <w:rPr>
          <w:sz w:val="25"/>
          <w:szCs w:val="25"/>
          <w:highlight w:val="none"/>
        </w:rPr>
        <w:tab/>
      </w:r>
      <w:r>
        <w:rPr>
          <w:sz w:val="25"/>
          <w:szCs w:val="25"/>
          <w:highlight w:val="none"/>
        </w:rPr>
        <w:tab/>
      </w:r>
      <w:r>
        <w:rPr>
          <w:sz w:val="25"/>
          <w:szCs w:val="25"/>
          <w:highlight w:val="none"/>
        </w:rPr>
        <w:tab/>
      </w:r>
      <w:r>
        <w:rPr>
          <w:sz w:val="25"/>
          <w:szCs w:val="25"/>
          <w:highlight w:val="none"/>
        </w:rPr>
        <w:tab/>
      </w:r>
      <w:r>
        <w:rPr>
          <w:sz w:val="25"/>
          <w:szCs w:val="25"/>
          <w:highlight w:val="none"/>
        </w:rPr>
        <w:tab/>
      </w:r>
      <w:r>
        <w:rPr>
          <w:sz w:val="25"/>
          <w:szCs w:val="25"/>
          <w:highlight w:val="none"/>
        </w:rPr>
        <w:tab/>
      </w:r>
      <w:r>
        <w:rPr>
          <w:sz w:val="25"/>
          <w:szCs w:val="25"/>
          <w:highlight w:val="none"/>
        </w:rPr>
        <w:tab/>
      </w:r>
      <w:r>
        <w:rPr>
          <w:sz w:val="25"/>
          <w:szCs w:val="25"/>
          <w:highlight w:val="none"/>
        </w:rPr>
        <w:tab/>
      </w:r>
      <w:r>
        <w:rPr>
          <w:rStyle w:val="cat-Addressgrp-0rplc-0"/>
          <w:sz w:val="25"/>
          <w:szCs w:val="25"/>
          <w:highlight w:val="none"/>
        </w:rPr>
        <w:t>адрес</w:t>
      </w:r>
    </w:p>
    <w:p w:rsidR="003D449B">
      <w:pPr>
        <w:ind w:firstLine="567"/>
        <w:jc w:val="both"/>
        <w:rPr>
          <w:sz w:val="25"/>
          <w:szCs w:val="25"/>
        </w:rPr>
      </w:pPr>
    </w:p>
    <w:p w:rsidR="003D449B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 xml:space="preserve">Зюзинский районный суд </w:t>
      </w:r>
      <w:r>
        <w:rPr>
          <w:rStyle w:val="cat-Addressgrp-1rplc-1"/>
          <w:sz w:val="25"/>
          <w:szCs w:val="25"/>
          <w:highlight w:val="none"/>
        </w:rPr>
        <w:t>адрес</w:t>
      </w:r>
      <w:r>
        <w:rPr>
          <w:sz w:val="25"/>
          <w:szCs w:val="25"/>
          <w:highlight w:val="none"/>
        </w:rPr>
        <w:t xml:space="preserve"> в составе председательствующего судьи </w:t>
      </w:r>
      <w:r>
        <w:rPr>
          <w:sz w:val="25"/>
          <w:szCs w:val="25"/>
          <w:highlight w:val="none"/>
        </w:rPr>
        <w:t xml:space="preserve"> при секретаре </w:t>
      </w:r>
      <w:r>
        <w:rPr>
          <w:rStyle w:val="cat-FIOgrp-5rplc-3"/>
          <w:sz w:val="25"/>
          <w:szCs w:val="25"/>
          <w:highlight w:val="none"/>
        </w:rPr>
        <w:t>фио</w:t>
      </w:r>
      <w:r>
        <w:rPr>
          <w:sz w:val="25"/>
          <w:szCs w:val="25"/>
          <w:highlight w:val="none"/>
        </w:rPr>
        <w:t xml:space="preserve">, рассмотрев в открытом судебном заседании гражданское дело </w:t>
      </w:r>
      <w:r>
        <w:rPr>
          <w:sz w:val="25"/>
          <w:szCs w:val="25"/>
          <w:highlight w:val="none"/>
        </w:rPr>
        <w:t xml:space="preserve">№ 2-3569/2021 по иску ПАО «Сбербанк России» к </w:t>
      </w:r>
      <w:r>
        <w:rPr>
          <w:sz w:val="25"/>
          <w:szCs w:val="25"/>
          <w:highlight w:val="none"/>
        </w:rPr>
        <w:t>фио</w:t>
      </w:r>
      <w:r>
        <w:rPr>
          <w:sz w:val="25"/>
          <w:szCs w:val="25"/>
          <w:highlight w:val="none"/>
        </w:rPr>
        <w:t xml:space="preserve"> о взыскании задолженности по кредитному договору,</w:t>
      </w:r>
    </w:p>
    <w:p w:rsidR="003D449B">
      <w:pPr>
        <w:ind w:firstLine="567"/>
        <w:jc w:val="center"/>
        <w:rPr>
          <w:sz w:val="25"/>
          <w:szCs w:val="25"/>
        </w:rPr>
      </w:pPr>
      <w:r>
        <w:rPr>
          <w:sz w:val="25"/>
          <w:szCs w:val="25"/>
          <w:highlight w:val="none"/>
        </w:rPr>
        <w:t>УСТАНОВИЛ:</w:t>
      </w:r>
    </w:p>
    <w:p w:rsidR="003D449B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 xml:space="preserve">Истец ПАО «Сбербанк России» в лице филиала Московского банка ПАО Сбербанк обратился в суд с иском к ответчику </w:t>
      </w:r>
      <w:r>
        <w:rPr>
          <w:sz w:val="25"/>
          <w:szCs w:val="25"/>
          <w:highlight w:val="none"/>
        </w:rPr>
        <w:t>Амирову</w:t>
      </w:r>
      <w:r>
        <w:rPr>
          <w:sz w:val="25"/>
          <w:szCs w:val="25"/>
          <w:highlight w:val="none"/>
        </w:rPr>
        <w:t xml:space="preserve"> Т.А. </w:t>
      </w:r>
      <w:r>
        <w:rPr>
          <w:sz w:val="25"/>
          <w:szCs w:val="25"/>
          <w:highlight w:val="none"/>
        </w:rPr>
        <w:t xml:space="preserve">о взыскании ссудной задолженности по эмиссионному контракту, указав, что между ПАО «Сбербанк России» и </w:t>
      </w:r>
      <w:r>
        <w:rPr>
          <w:sz w:val="25"/>
          <w:szCs w:val="25"/>
          <w:highlight w:val="none"/>
        </w:rPr>
        <w:t>Амировым</w:t>
      </w:r>
      <w:r>
        <w:rPr>
          <w:sz w:val="25"/>
          <w:szCs w:val="25"/>
          <w:highlight w:val="none"/>
        </w:rPr>
        <w:t xml:space="preserve"> Т.А. 13.07.2012 года заключен эмиссионный контракт №0910-Р-567063841 на предоставление </w:t>
      </w:r>
      <w:r>
        <w:rPr>
          <w:sz w:val="25"/>
          <w:szCs w:val="25"/>
          <w:highlight w:val="none"/>
        </w:rPr>
        <w:t>Амирову</w:t>
      </w:r>
      <w:r>
        <w:rPr>
          <w:sz w:val="25"/>
          <w:szCs w:val="25"/>
          <w:highlight w:val="none"/>
        </w:rPr>
        <w:t xml:space="preserve"> Т.А. возобновляемой кредитной линии посредством в</w:t>
      </w:r>
      <w:r>
        <w:rPr>
          <w:sz w:val="25"/>
          <w:szCs w:val="25"/>
          <w:highlight w:val="none"/>
        </w:rPr>
        <w:t>ыдачи ему банковской карты Сбербанка с предоставленным</w:t>
      </w:r>
      <w:r>
        <w:rPr>
          <w:sz w:val="25"/>
          <w:szCs w:val="25"/>
          <w:highlight w:val="none"/>
        </w:rPr>
        <w:t xml:space="preserve"> по ней кредитом и  обслуживанием счета по данной карте в российских рублях. Договор заключен в результате публичной оферты путём оформления ответчиком заявления на получение кредитной карты Сбербанка Р</w:t>
      </w:r>
      <w:r>
        <w:rPr>
          <w:sz w:val="25"/>
          <w:szCs w:val="25"/>
          <w:highlight w:val="none"/>
        </w:rPr>
        <w:t xml:space="preserve">оссии и ознакомления его с Условиями выпуска и обслуживания кредитной карты Сбербанка, Тарифами Сбербанка. Во исполнение заключенного договора </w:t>
      </w:r>
      <w:r>
        <w:rPr>
          <w:sz w:val="25"/>
          <w:szCs w:val="25"/>
          <w:highlight w:val="none"/>
        </w:rPr>
        <w:t>Амирову</w:t>
      </w:r>
      <w:r>
        <w:rPr>
          <w:sz w:val="25"/>
          <w:szCs w:val="25"/>
          <w:highlight w:val="none"/>
        </w:rPr>
        <w:t xml:space="preserve"> Т.А. выдана кредитная карта с лимитом кредита </w:t>
      </w:r>
      <w:r>
        <w:rPr>
          <w:rStyle w:val="cat-Sumgrp-10rplc-9"/>
          <w:sz w:val="25"/>
          <w:szCs w:val="25"/>
          <w:highlight w:val="none"/>
        </w:rPr>
        <w:t>сумма</w:t>
      </w:r>
      <w:r>
        <w:rPr>
          <w:sz w:val="25"/>
          <w:szCs w:val="25"/>
          <w:highlight w:val="none"/>
        </w:rPr>
        <w:t xml:space="preserve"> под 17,90% годовых на условиях, определенных Тарифами</w:t>
      </w:r>
      <w:r>
        <w:rPr>
          <w:sz w:val="25"/>
          <w:szCs w:val="25"/>
          <w:highlight w:val="none"/>
        </w:rPr>
        <w:t xml:space="preserve"> Сбербанка, а также открыт ссудный счет для отражения операций, проводимых с использованием кредитной карты в соответствии с заключенным кредитным договором. Ответчиком платежи в счет погашения задолженности по кредиту производились с нарушением в части ср</w:t>
      </w:r>
      <w:r>
        <w:rPr>
          <w:sz w:val="25"/>
          <w:szCs w:val="25"/>
          <w:highlight w:val="none"/>
        </w:rPr>
        <w:t xml:space="preserve">оков и сумм, обязательных к погашению, </w:t>
      </w:r>
      <w:r>
        <w:rPr>
          <w:sz w:val="25"/>
          <w:szCs w:val="25"/>
          <w:highlight w:val="none"/>
        </w:rPr>
        <w:t xml:space="preserve">и по состоянию на 24.02.2021 года образовалась задолженность в размере </w:t>
      </w:r>
      <w:r>
        <w:rPr>
          <w:rStyle w:val="cat-Sumgrp-11rplc-10"/>
          <w:sz w:val="25"/>
          <w:szCs w:val="25"/>
          <w:highlight w:val="none"/>
        </w:rPr>
        <w:t>сумма</w:t>
      </w:r>
      <w:r>
        <w:rPr>
          <w:sz w:val="25"/>
          <w:szCs w:val="25"/>
          <w:highlight w:val="none"/>
        </w:rPr>
        <w:t xml:space="preserve">, </w:t>
      </w:r>
      <w:r>
        <w:rPr>
          <w:sz w:val="25"/>
          <w:szCs w:val="25"/>
          <w:highlight w:val="none"/>
        </w:rPr>
        <w:t>из</w:t>
      </w:r>
      <w:r>
        <w:rPr>
          <w:sz w:val="25"/>
          <w:szCs w:val="25"/>
          <w:highlight w:val="none"/>
        </w:rPr>
        <w:t xml:space="preserve"> которых: </w:t>
      </w:r>
      <w:r>
        <w:rPr>
          <w:rStyle w:val="cat-Sumgrp-12rplc-11"/>
          <w:sz w:val="25"/>
          <w:szCs w:val="25"/>
          <w:highlight w:val="none"/>
        </w:rPr>
        <w:t>сумма</w:t>
      </w:r>
      <w:r>
        <w:rPr>
          <w:sz w:val="25"/>
          <w:szCs w:val="25"/>
          <w:highlight w:val="none"/>
        </w:rPr>
        <w:t xml:space="preserve"> – просроченный основной долг, </w:t>
      </w:r>
      <w:r>
        <w:rPr>
          <w:rStyle w:val="cat-Sumgrp-13rplc-12"/>
          <w:sz w:val="25"/>
          <w:szCs w:val="25"/>
          <w:highlight w:val="none"/>
        </w:rPr>
        <w:t>сумма</w:t>
      </w:r>
      <w:r>
        <w:rPr>
          <w:sz w:val="25"/>
          <w:szCs w:val="25"/>
          <w:highlight w:val="none"/>
        </w:rPr>
        <w:t xml:space="preserve"> – неустойка, </w:t>
      </w:r>
      <w:r>
        <w:rPr>
          <w:rStyle w:val="cat-Sumgrp-14rplc-13"/>
          <w:sz w:val="25"/>
          <w:szCs w:val="25"/>
          <w:highlight w:val="none"/>
        </w:rPr>
        <w:t>сумма</w:t>
      </w:r>
      <w:r>
        <w:rPr>
          <w:sz w:val="25"/>
          <w:szCs w:val="25"/>
          <w:highlight w:val="none"/>
        </w:rPr>
        <w:t xml:space="preserve"> – просроченные проценты. </w:t>
      </w:r>
      <w:r>
        <w:rPr>
          <w:sz w:val="25"/>
          <w:szCs w:val="25"/>
          <w:highlight w:val="none"/>
        </w:rPr>
        <w:t xml:space="preserve">Поскольку претензионные требования банка </w:t>
      </w:r>
      <w:r>
        <w:rPr>
          <w:sz w:val="25"/>
          <w:szCs w:val="25"/>
          <w:highlight w:val="none"/>
        </w:rPr>
        <w:t xml:space="preserve">об оплате задолженности оставлены ответчиком без внимания, ПАО «Сбербанк России» обратился в суд с указанными требованиями, просит взыскать с ответчика задолженность по эмиссионному контракту №0910-Р-567063841 от 13.07.2012 года в размере </w:t>
      </w:r>
      <w:r>
        <w:rPr>
          <w:rStyle w:val="cat-Sumgrp-11rplc-14"/>
          <w:sz w:val="25"/>
          <w:szCs w:val="25"/>
          <w:highlight w:val="none"/>
        </w:rPr>
        <w:t>сумма</w:t>
      </w:r>
      <w:r>
        <w:rPr>
          <w:sz w:val="25"/>
          <w:szCs w:val="25"/>
          <w:highlight w:val="none"/>
        </w:rPr>
        <w:t>, а также ра</w:t>
      </w:r>
      <w:r>
        <w:rPr>
          <w:sz w:val="25"/>
          <w:szCs w:val="25"/>
          <w:highlight w:val="none"/>
        </w:rPr>
        <w:t xml:space="preserve">сходы по уплате государственной пошлины в размере </w:t>
      </w:r>
      <w:r>
        <w:rPr>
          <w:rStyle w:val="cat-Sumgrp-15rplc-15"/>
          <w:sz w:val="25"/>
          <w:szCs w:val="25"/>
          <w:highlight w:val="none"/>
        </w:rPr>
        <w:t>сумма</w:t>
      </w:r>
      <w:r>
        <w:rPr>
          <w:sz w:val="25"/>
          <w:szCs w:val="25"/>
          <w:highlight w:val="none"/>
        </w:rPr>
        <w:t>.</w:t>
      </w:r>
    </w:p>
    <w:p w:rsidR="003D449B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Представитель истца ПАО «Сбербанк России» в лице филиала Московского банка ПАО Сбербанк в судебное заседание не явился, о дате, месте и времени судебного заседания истец извещён надлежащим образом; п</w:t>
      </w:r>
      <w:r>
        <w:rPr>
          <w:sz w:val="25"/>
          <w:szCs w:val="25"/>
          <w:highlight w:val="none"/>
        </w:rPr>
        <w:t>ри подаче искового заявления просил о рассмотрении дела в отсутствии представителя.</w:t>
      </w:r>
    </w:p>
    <w:p w:rsidR="003D449B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Ответчик в судебное заседание не явился, о дате, месте и времени слушания дела извещался своевременно и надлежащим образом.</w:t>
      </w:r>
    </w:p>
    <w:p w:rsidR="003D449B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 xml:space="preserve">Учитывая, что судом были предприняты надлежащие </w:t>
      </w:r>
      <w:r>
        <w:rPr>
          <w:sz w:val="25"/>
          <w:szCs w:val="25"/>
          <w:highlight w:val="none"/>
        </w:rPr>
        <w:t>меры по извещению ответчика о дате, времени и месте судебного заседания, при этом, дела подлежат рассмотрению в разумные сроки, ответчику предоставлен достаточный срок для участия в судебном заседании и представления доказательств, суд расценивает извещени</w:t>
      </w:r>
      <w:r>
        <w:rPr>
          <w:sz w:val="25"/>
          <w:szCs w:val="25"/>
          <w:highlight w:val="none"/>
        </w:rPr>
        <w:t>е ответчика как надлежащее и, руководствуясь ч.4 ст.167 ГПК РФ, полагает возможным рассмотреть дело в его отсутствие.</w:t>
      </w:r>
    </w:p>
    <w:p w:rsidR="003D449B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 xml:space="preserve">Исследовав материалы дела, оценив собранные по делу доказательства, суд приходит к следующему выводу. </w:t>
      </w:r>
    </w:p>
    <w:p w:rsidR="003D449B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В соответствии со ст.</w:t>
      </w:r>
      <w:r>
        <w:fldChar w:fldCharType="begin"/>
      </w:r>
      <w:r>
        <w:rPr>
          <w:highlight w:val="none"/>
        </w:rPr>
        <w:instrText xml:space="preserve"> HYPERLINK "http://www.sud-praktika.ru/precedent/168779.html" </w:instrText>
      </w:r>
      <w:r>
        <w:fldChar w:fldCharType="separate"/>
      </w:r>
      <w:r>
        <w:rPr>
          <w:color w:val="0000EE"/>
          <w:sz w:val="25"/>
          <w:szCs w:val="25"/>
          <w:highlight w:val="none"/>
          <w:u w:val="single" w:color="0000EE"/>
        </w:rPr>
        <w:t>56 ГПК РФ</w:t>
      </w:r>
      <w:r>
        <w:fldChar w:fldCharType="end"/>
      </w:r>
      <w:r>
        <w:rPr>
          <w:sz w:val="25"/>
          <w:szCs w:val="25"/>
          <w:highlight w:val="none"/>
        </w:rPr>
        <w:t>, содержание которой следует рассматривать в контексте с положениями п.3 ст.</w:t>
      </w:r>
      <w:r>
        <w:fldChar w:fldCharType="begin"/>
      </w:r>
      <w:r>
        <w:rPr>
          <w:highlight w:val="none"/>
        </w:rPr>
        <w:instrText xml:space="preserve"> HYPERLINK "http://www.sud-praktika.ru/precedent/168779.html" </w:instrText>
      </w:r>
      <w:r>
        <w:fldChar w:fldCharType="separate"/>
      </w:r>
      <w:r>
        <w:rPr>
          <w:color w:val="0000EE"/>
          <w:sz w:val="25"/>
          <w:szCs w:val="25"/>
          <w:highlight w:val="none"/>
          <w:u w:val="single" w:color="0000EE"/>
        </w:rPr>
        <w:t>123</w:t>
      </w:r>
      <w:r>
        <w:fldChar w:fldCharType="end"/>
      </w:r>
      <w:r>
        <w:rPr>
          <w:sz w:val="25"/>
          <w:szCs w:val="25"/>
          <w:highlight w:val="none"/>
        </w:rPr>
        <w:t xml:space="preserve"> Конституции РФ и ст.</w:t>
      </w:r>
      <w:r>
        <w:fldChar w:fldCharType="begin"/>
      </w:r>
      <w:r>
        <w:rPr>
          <w:highlight w:val="none"/>
        </w:rPr>
        <w:instrText xml:space="preserve"> HYPERLINK "http://www.sud-praktika.ru/precedent/168779.html" </w:instrText>
      </w:r>
      <w:r>
        <w:fldChar w:fldCharType="separate"/>
      </w:r>
      <w:r>
        <w:rPr>
          <w:color w:val="0000EE"/>
          <w:sz w:val="25"/>
          <w:szCs w:val="25"/>
          <w:highlight w:val="none"/>
          <w:u w:val="single" w:color="0000EE"/>
        </w:rPr>
        <w:t>12 ГПК РФ</w:t>
      </w:r>
      <w:r>
        <w:fldChar w:fldCharType="end"/>
      </w:r>
      <w:r>
        <w:rPr>
          <w:sz w:val="25"/>
          <w:szCs w:val="25"/>
          <w:highlight w:val="none"/>
        </w:rPr>
        <w:t>, закрепляющих принцип состязательности гражданского судопроизводства и принцип равноправия сторон, каждая сторона должна доказать те обстоятельства, на которые она ссылается как на основания своих требований и во</w:t>
      </w:r>
      <w:r>
        <w:rPr>
          <w:sz w:val="25"/>
          <w:szCs w:val="25"/>
          <w:highlight w:val="none"/>
        </w:rPr>
        <w:t>зражений, если иное не предусмотрено федеральным законом.</w:t>
      </w:r>
    </w:p>
    <w:p w:rsidR="003D449B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Согласно ч.3 ст.67 ГПК РФ, суд оценивает доказательства по своему внутреннему убеждению, основанному на всестороннем, полном, объективном и непосредственном исследовании имеющихся в деле доказательс</w:t>
      </w:r>
      <w:r>
        <w:rPr>
          <w:sz w:val="25"/>
          <w:szCs w:val="25"/>
          <w:highlight w:val="none"/>
        </w:rPr>
        <w:t>тв.</w:t>
      </w:r>
    </w:p>
    <w:p w:rsidR="003D449B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В соответствии с ч.1 ст.68 ГПК РФ объяснения сторон и третьих лиц об известных им обстоятельствах, имеющих значение для правильного рассмотрения дела, подлежат проверке и оценке наряду с другими доказательствами. В случае</w:t>
      </w:r>
      <w:r>
        <w:rPr>
          <w:sz w:val="25"/>
          <w:szCs w:val="25"/>
          <w:highlight w:val="none"/>
        </w:rPr>
        <w:t>,</w:t>
      </w:r>
      <w:r>
        <w:rPr>
          <w:sz w:val="25"/>
          <w:szCs w:val="25"/>
          <w:highlight w:val="none"/>
        </w:rPr>
        <w:t xml:space="preserve"> если сторона, обязанная доказ</w:t>
      </w:r>
      <w:r>
        <w:rPr>
          <w:sz w:val="25"/>
          <w:szCs w:val="25"/>
          <w:highlight w:val="none"/>
        </w:rPr>
        <w:t>ывать свои требования или возражения, удерживает находящиеся у нее доказательства и не представляет их суду, суд вправе обосновать свои выводы объяснениями другой стороны.</w:t>
      </w:r>
    </w:p>
    <w:p w:rsidR="003D449B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 xml:space="preserve">В соответствии </w:t>
      </w:r>
      <w:r>
        <w:rPr>
          <w:sz w:val="25"/>
          <w:szCs w:val="25"/>
          <w:highlight w:val="none"/>
        </w:rPr>
        <w:t>ч</w:t>
      </w:r>
      <w:r>
        <w:rPr>
          <w:sz w:val="25"/>
          <w:szCs w:val="25"/>
          <w:highlight w:val="none"/>
        </w:rPr>
        <w:t xml:space="preserve"> п. 1 ст. 12 ГПК РФ правосудие по гражданским делам осуществляется н</w:t>
      </w:r>
      <w:r>
        <w:rPr>
          <w:sz w:val="25"/>
          <w:szCs w:val="25"/>
          <w:highlight w:val="none"/>
        </w:rPr>
        <w:t>а основе состязательности и равноправия сторон.</w:t>
      </w:r>
    </w:p>
    <w:p w:rsidR="003D449B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Согласно ст.</w:t>
      </w:r>
      <w:r>
        <w:fldChar w:fldCharType="begin"/>
      </w:r>
      <w:r>
        <w:rPr>
          <w:highlight w:val="none"/>
        </w:rPr>
        <w:instrText xml:space="preserve"> HYPERLINK "http://sudact.ru/law/gk-rf-chast1/razdel-iii/podrazdel-2_1/glava-28/statia-432/" </w:instrText>
      </w:r>
      <w:r>
        <w:fldChar w:fldCharType="separate"/>
      </w:r>
      <w:r>
        <w:rPr>
          <w:color w:val="0000EE"/>
          <w:sz w:val="25"/>
          <w:szCs w:val="25"/>
          <w:highlight w:val="none"/>
        </w:rPr>
        <w:t>432 ГК РФ</w:t>
      </w:r>
      <w:r>
        <w:fldChar w:fldCharType="end"/>
      </w:r>
      <w:r>
        <w:rPr>
          <w:sz w:val="25"/>
          <w:szCs w:val="25"/>
          <w:highlight w:val="none"/>
        </w:rPr>
        <w:t xml:space="preserve"> договор считается заключенным, если между сторонами, в требуемой в подлежащих случаях форм</w:t>
      </w:r>
      <w:r>
        <w:rPr>
          <w:sz w:val="25"/>
          <w:szCs w:val="25"/>
          <w:highlight w:val="none"/>
        </w:rPr>
        <w:t>е, достигнуто соглашение по всем существенным условиям договора. Договор заключается 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 w:rsidR="003D449B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В соответствии с п.1 ст.</w:t>
      </w:r>
      <w:r>
        <w:fldChar w:fldCharType="begin"/>
      </w:r>
      <w:r>
        <w:rPr>
          <w:highlight w:val="none"/>
        </w:rPr>
        <w:instrText xml:space="preserve"> HYPERLINK "http://sudact.ru/law/gk-rf-chast2/razdel-iv/glava-42/ss-2_4/statia-819/" </w:instrText>
      </w:r>
      <w:r>
        <w:fldChar w:fldCharType="separate"/>
      </w:r>
      <w:r>
        <w:rPr>
          <w:color w:val="0000EE"/>
          <w:sz w:val="25"/>
          <w:szCs w:val="25"/>
          <w:highlight w:val="none"/>
        </w:rPr>
        <w:t>819</w:t>
      </w:r>
      <w:r>
        <w:fldChar w:fldCharType="end"/>
      </w:r>
      <w:r>
        <w:rPr>
          <w:sz w:val="25"/>
          <w:szCs w:val="25"/>
          <w:highlight w:val="none"/>
        </w:rPr>
        <w:t xml:space="preserve">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</w:t>
      </w:r>
      <w:r>
        <w:rPr>
          <w:sz w:val="25"/>
          <w:szCs w:val="25"/>
          <w:highlight w:val="none"/>
        </w:rPr>
        <w:t>овором, а заемщик обязуется возвратить полученную денежную сумму и уплатить проценты на нее. Пунктом 2 ст.</w:t>
      </w:r>
      <w:r>
        <w:fldChar w:fldCharType="begin"/>
      </w:r>
      <w:r>
        <w:rPr>
          <w:highlight w:val="none"/>
        </w:rPr>
        <w:instrText xml:space="preserve"> HYPERLINK "http://sudact.ru/law/gk-rf-chast2/razdel-iv/glava-42/ss-2_4/statia-819/" </w:instrText>
      </w:r>
      <w:r>
        <w:fldChar w:fldCharType="separate"/>
      </w:r>
      <w:r>
        <w:rPr>
          <w:color w:val="0000EE"/>
          <w:sz w:val="25"/>
          <w:szCs w:val="25"/>
          <w:highlight w:val="none"/>
        </w:rPr>
        <w:t>819</w:t>
      </w:r>
      <w:r>
        <w:fldChar w:fldCharType="end"/>
      </w:r>
      <w:r>
        <w:rPr>
          <w:sz w:val="25"/>
          <w:szCs w:val="25"/>
          <w:highlight w:val="none"/>
        </w:rPr>
        <w:t xml:space="preserve"> ГК РФ предусмотрено, что к отношениям по кредитному догово</w:t>
      </w:r>
      <w:r>
        <w:rPr>
          <w:sz w:val="25"/>
          <w:szCs w:val="25"/>
          <w:highlight w:val="none"/>
        </w:rPr>
        <w:t>ру применяются те же правила, что и о договоре займа, если иное не предусмотрено правилами параграфа 2 главы 42 ГК РФ и не вытекает из существа кредитного договора.</w:t>
      </w:r>
    </w:p>
    <w:p w:rsidR="003D449B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Согласно п.3 ст.</w:t>
      </w:r>
      <w:r>
        <w:fldChar w:fldCharType="begin"/>
      </w:r>
      <w:r>
        <w:rPr>
          <w:highlight w:val="none"/>
        </w:rPr>
        <w:instrText xml:space="preserve"> HYPERLINK "http://sudact.ru/law/gk-rf-chast2/razdel-iv/glava-42/ss-1_4/statia-810/" </w:instrText>
      </w:r>
      <w:r>
        <w:fldChar w:fldCharType="separate"/>
      </w:r>
      <w:r>
        <w:rPr>
          <w:color w:val="0000EE"/>
          <w:sz w:val="25"/>
          <w:szCs w:val="25"/>
          <w:highlight w:val="none"/>
        </w:rPr>
        <w:t>810</w:t>
      </w:r>
      <w:r>
        <w:fldChar w:fldCharType="end"/>
      </w:r>
      <w:r>
        <w:rPr>
          <w:sz w:val="25"/>
          <w:szCs w:val="25"/>
          <w:highlight w:val="none"/>
        </w:rPr>
        <w:t xml:space="preserve"> ГК РФ, если иное не предусмотрено договором займа, сумма займа считается возвращенной в момент передачи ее заимодавцу или зачисления соответствующих денежных средств на его банковский счет. Если договором займа предусмотрено возвращение за</w:t>
      </w:r>
      <w:r>
        <w:rPr>
          <w:sz w:val="25"/>
          <w:szCs w:val="25"/>
          <w:highlight w:val="none"/>
        </w:rPr>
        <w:t>йма по частям (в рассрочку), то при нарушении заемщиком срока, установленного для возврата очередной части займа, заимодавец вправе потребовать досрочного возврата всей оставшейся суммы займа вместе с причитающимися процентами (п.2 ст.</w:t>
      </w:r>
      <w:r>
        <w:fldChar w:fldCharType="begin"/>
      </w:r>
      <w:r>
        <w:rPr>
          <w:highlight w:val="none"/>
        </w:rPr>
        <w:instrText xml:space="preserve"> HYPERLINK "http://sudact.ru/law/gk-rf-chast2/razdel-iv/glava-42/ss-1_4/statia-811/" </w:instrText>
      </w:r>
      <w:r>
        <w:fldChar w:fldCharType="separate"/>
      </w:r>
      <w:r>
        <w:rPr>
          <w:color w:val="0000EE"/>
          <w:sz w:val="25"/>
          <w:szCs w:val="25"/>
          <w:highlight w:val="none"/>
        </w:rPr>
        <w:t>811</w:t>
      </w:r>
      <w:r>
        <w:fldChar w:fldCharType="end"/>
      </w:r>
      <w:r>
        <w:rPr>
          <w:sz w:val="25"/>
          <w:szCs w:val="25"/>
          <w:highlight w:val="none"/>
        </w:rPr>
        <w:t xml:space="preserve"> ГК РФ).</w:t>
      </w:r>
    </w:p>
    <w:p w:rsidR="003D449B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Согласно ч.1 ст.</w:t>
      </w:r>
      <w:r>
        <w:fldChar w:fldCharType="begin"/>
      </w:r>
      <w:r>
        <w:rPr>
          <w:highlight w:val="none"/>
        </w:rPr>
        <w:instrText xml:space="preserve"> HYPERLINK "http://sudact.ru/law/gk-rf-chast2/razdel-iv/glava-42/ss-1_4/statia-809/" </w:instrText>
      </w:r>
      <w:r>
        <w:fldChar w:fldCharType="separate"/>
      </w:r>
      <w:r>
        <w:rPr>
          <w:color w:val="0000EE"/>
          <w:sz w:val="25"/>
          <w:szCs w:val="25"/>
          <w:highlight w:val="none"/>
        </w:rPr>
        <w:t>809 ГК РФ</w:t>
      </w:r>
      <w:r>
        <w:fldChar w:fldCharType="end"/>
      </w:r>
      <w:r>
        <w:rPr>
          <w:sz w:val="25"/>
          <w:szCs w:val="25"/>
          <w:highlight w:val="none"/>
        </w:rPr>
        <w:t>, если иное не предусмотрено законом или договором займа, займод</w:t>
      </w:r>
      <w:r>
        <w:rPr>
          <w:sz w:val="25"/>
          <w:szCs w:val="25"/>
          <w:highlight w:val="none"/>
        </w:rPr>
        <w:t xml:space="preserve">авец имеет право на получение с заемщика процентов на сумму займа </w:t>
      </w:r>
      <w:r>
        <w:rPr>
          <w:sz w:val="25"/>
          <w:szCs w:val="25"/>
          <w:highlight w:val="none"/>
        </w:rPr>
        <w:t>в</w:t>
      </w:r>
      <w:r>
        <w:rPr>
          <w:sz w:val="25"/>
          <w:szCs w:val="25"/>
          <w:highlight w:val="none"/>
        </w:rPr>
        <w:t xml:space="preserve"> </w:t>
      </w:r>
      <w:r>
        <w:rPr>
          <w:sz w:val="25"/>
          <w:szCs w:val="25"/>
          <w:highlight w:val="none"/>
        </w:rPr>
        <w:t>размерах</w:t>
      </w:r>
      <w:r>
        <w:rPr>
          <w:sz w:val="25"/>
          <w:szCs w:val="25"/>
          <w:highlight w:val="none"/>
        </w:rPr>
        <w:t xml:space="preserve"> и в порядке, определенных договором.</w:t>
      </w:r>
    </w:p>
    <w:p w:rsidR="003D449B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В соответствии со ст.</w:t>
      </w:r>
      <w:r>
        <w:fldChar w:fldCharType="begin"/>
      </w:r>
      <w:r>
        <w:rPr>
          <w:highlight w:val="none"/>
        </w:rPr>
        <w:instrText xml:space="preserve"> HYPERLINK "http://sudact.ru/law/gk-rf-chast2/razdel-iv/glava-42/ss-2_4/statia-820/" </w:instrText>
      </w:r>
      <w:r>
        <w:fldChar w:fldCharType="separate"/>
      </w:r>
      <w:r>
        <w:rPr>
          <w:color w:val="0000EE"/>
          <w:sz w:val="25"/>
          <w:szCs w:val="25"/>
          <w:highlight w:val="none"/>
        </w:rPr>
        <w:t>820</w:t>
      </w:r>
      <w:r>
        <w:fldChar w:fldCharType="end"/>
      </w:r>
      <w:r>
        <w:rPr>
          <w:sz w:val="25"/>
          <w:szCs w:val="25"/>
          <w:highlight w:val="none"/>
        </w:rPr>
        <w:t xml:space="preserve"> ГК РФ кредитный договор долже</w:t>
      </w:r>
      <w:r>
        <w:rPr>
          <w:sz w:val="25"/>
          <w:szCs w:val="25"/>
          <w:highlight w:val="none"/>
        </w:rPr>
        <w:t>н быть заключен в письменной форме.</w:t>
      </w:r>
    </w:p>
    <w:p w:rsidR="003D449B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Исходя из положений ст.</w:t>
      </w:r>
      <w:r>
        <w:fldChar w:fldCharType="begin"/>
      </w:r>
      <w:r>
        <w:rPr>
          <w:highlight w:val="none"/>
        </w:rPr>
        <w:instrText xml:space="preserve"> HYPERLINK "http://sudact.ru/law/gk-rf-chast2/razdel-iv/glava-42/ss-1_4/statia-810/" </w:instrText>
      </w:r>
      <w:r>
        <w:fldChar w:fldCharType="separate"/>
      </w:r>
      <w:r>
        <w:rPr>
          <w:color w:val="0000EE"/>
          <w:sz w:val="25"/>
          <w:szCs w:val="25"/>
          <w:highlight w:val="none"/>
        </w:rPr>
        <w:t>810</w:t>
      </w:r>
      <w:r>
        <w:fldChar w:fldCharType="end"/>
      </w:r>
      <w:r>
        <w:rPr>
          <w:sz w:val="25"/>
          <w:szCs w:val="25"/>
          <w:highlight w:val="none"/>
        </w:rPr>
        <w:t xml:space="preserve"> ГК РФ заёмщик обязан возвратить займодавцу полученную сумму займа в срок и в порядке, которые предусмотре</w:t>
      </w:r>
      <w:r>
        <w:rPr>
          <w:sz w:val="25"/>
          <w:szCs w:val="25"/>
          <w:highlight w:val="none"/>
        </w:rPr>
        <w:t>ны договором.</w:t>
      </w:r>
    </w:p>
    <w:p w:rsidR="003D449B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 xml:space="preserve">Как установлено в судебном заседании, 13.07.2012 года заключен эмиссионный контракт №0910-Р-567063841 на предоставление </w:t>
      </w:r>
      <w:r>
        <w:rPr>
          <w:sz w:val="25"/>
          <w:szCs w:val="25"/>
          <w:highlight w:val="none"/>
        </w:rPr>
        <w:t>Амирову</w:t>
      </w:r>
      <w:r>
        <w:rPr>
          <w:sz w:val="25"/>
          <w:szCs w:val="25"/>
          <w:highlight w:val="none"/>
        </w:rPr>
        <w:t xml:space="preserve"> Т.А. возобновляемой кредитной линии посредством выдачи ему банковской карты Сбербанка с предоставленным по ней кре</w:t>
      </w:r>
      <w:r>
        <w:rPr>
          <w:sz w:val="25"/>
          <w:szCs w:val="25"/>
          <w:highlight w:val="none"/>
        </w:rPr>
        <w:t xml:space="preserve">дитом и обслуживанием счета по данной карте в российских </w:t>
      </w:r>
      <w:r>
        <w:rPr>
          <w:sz w:val="25"/>
          <w:szCs w:val="25"/>
          <w:highlight w:val="none"/>
        </w:rPr>
        <w:t>рублях. Договор заключен в результате публичной оферты путём оформления ответчиком заявления на получение кредитной карты Сбербанка России и ознакомления его с Условиями выпуска и обслуживания кредит</w:t>
      </w:r>
      <w:r>
        <w:rPr>
          <w:sz w:val="25"/>
          <w:szCs w:val="25"/>
          <w:highlight w:val="none"/>
        </w:rPr>
        <w:t xml:space="preserve">ной карты Сбербанка, Тарифами Сбербанка. Во исполнение заключенного договора </w:t>
      </w:r>
      <w:r>
        <w:rPr>
          <w:sz w:val="25"/>
          <w:szCs w:val="25"/>
          <w:highlight w:val="none"/>
        </w:rPr>
        <w:t>Амирову</w:t>
      </w:r>
      <w:r>
        <w:rPr>
          <w:sz w:val="25"/>
          <w:szCs w:val="25"/>
          <w:highlight w:val="none"/>
        </w:rPr>
        <w:t xml:space="preserve"> Т.А. выдана кредитная карта с лимитом кредита </w:t>
      </w:r>
      <w:r>
        <w:rPr>
          <w:rStyle w:val="cat-Sumgrp-16rplc-18"/>
          <w:sz w:val="25"/>
          <w:szCs w:val="25"/>
          <w:highlight w:val="none"/>
        </w:rPr>
        <w:t>сумма</w:t>
      </w:r>
      <w:r>
        <w:rPr>
          <w:sz w:val="25"/>
          <w:szCs w:val="25"/>
          <w:highlight w:val="none"/>
        </w:rPr>
        <w:t xml:space="preserve"> под 17,90% годовых на условиях, определенных Тарифами Сбербанка, а также открыт ссудный счет для отражения операций, </w:t>
      </w:r>
      <w:r>
        <w:rPr>
          <w:sz w:val="25"/>
          <w:szCs w:val="25"/>
          <w:highlight w:val="none"/>
        </w:rPr>
        <w:t xml:space="preserve">проводимых с использованием кредитной карты в соответствии с заключенным кредитным договором. Дата оплаты не позднее 20 дней </w:t>
      </w:r>
      <w:r>
        <w:rPr>
          <w:sz w:val="25"/>
          <w:szCs w:val="25"/>
          <w:highlight w:val="none"/>
        </w:rPr>
        <w:t>с даты формирования</w:t>
      </w:r>
      <w:r>
        <w:rPr>
          <w:sz w:val="25"/>
          <w:szCs w:val="25"/>
          <w:highlight w:val="none"/>
        </w:rPr>
        <w:t xml:space="preserve"> отчета.</w:t>
      </w:r>
    </w:p>
    <w:p w:rsidR="003D449B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В соответствии с положениями п.1 ст.329 ГК РФ, исполнение обязательств может обеспечиваться неустойкой,</w:t>
      </w:r>
      <w:r>
        <w:rPr>
          <w:sz w:val="25"/>
          <w:szCs w:val="25"/>
          <w:highlight w:val="none"/>
        </w:rPr>
        <w:t xml:space="preserve"> залогом, удержанием вещи должника, поручительством, независимой гарантией, задатком, обеспечительным платежом и другими способами, предусмотренными законом или договором.</w:t>
      </w:r>
    </w:p>
    <w:p w:rsidR="003D449B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В соответствии с п.1 ст.330 ГК РФ, неустойкой (штрафом, пеней) признается определенн</w:t>
      </w:r>
      <w:r>
        <w:rPr>
          <w:sz w:val="25"/>
          <w:szCs w:val="25"/>
          <w:highlight w:val="none"/>
        </w:rPr>
        <w:t xml:space="preserve">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</w:t>
      </w:r>
      <w:r>
        <w:rPr>
          <w:sz w:val="25"/>
          <w:szCs w:val="25"/>
          <w:highlight w:val="none"/>
        </w:rPr>
        <w:t xml:space="preserve">причинение ему убытков. </w:t>
      </w:r>
    </w:p>
    <w:p w:rsidR="003D449B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Пунктом 7 Индивидуальных условий предусмотрено, что за несвоевременное погашение обязательных платежей взимается неустойка в размере 35,8 процентов годовых.</w:t>
      </w:r>
    </w:p>
    <w:p w:rsidR="003D449B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Проанализировав условия договора, суд считает, что в договоре отражены все</w:t>
      </w:r>
      <w:r>
        <w:rPr>
          <w:sz w:val="25"/>
          <w:szCs w:val="25"/>
          <w:highlight w:val="none"/>
        </w:rPr>
        <w:t xml:space="preserve"> существенные условия такого договора: сумма кредита, срок пользования кредитом, процентная ставка, размер ответственности за несвоевременный возврат суммы займа, отражён порядок определения размера и периодичности платежей заёмщика по договору и т.д. С да</w:t>
      </w:r>
      <w:r>
        <w:rPr>
          <w:sz w:val="25"/>
          <w:szCs w:val="25"/>
          <w:highlight w:val="none"/>
        </w:rPr>
        <w:t xml:space="preserve">нными условиями договора </w:t>
      </w:r>
      <w:r>
        <w:rPr>
          <w:sz w:val="25"/>
          <w:szCs w:val="25"/>
          <w:highlight w:val="none"/>
        </w:rPr>
        <w:t>Амиров</w:t>
      </w:r>
      <w:r>
        <w:rPr>
          <w:sz w:val="25"/>
          <w:szCs w:val="25"/>
          <w:highlight w:val="none"/>
        </w:rPr>
        <w:t xml:space="preserve"> Т.А. был согласен, что подтвердил своей подписью на договоре, приложениях и дополнениях к нему.</w:t>
      </w:r>
    </w:p>
    <w:p w:rsidR="003D449B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 xml:space="preserve">Во исполнение заключенного договора ответчику выдана кредитная карта, с лимитом кредита </w:t>
      </w:r>
      <w:r>
        <w:rPr>
          <w:rStyle w:val="cat-Sumgrp-17rplc-20"/>
          <w:sz w:val="25"/>
          <w:szCs w:val="25"/>
          <w:highlight w:val="none"/>
        </w:rPr>
        <w:t>сумма</w:t>
      </w:r>
      <w:r>
        <w:rPr>
          <w:sz w:val="25"/>
          <w:szCs w:val="25"/>
          <w:highlight w:val="none"/>
        </w:rPr>
        <w:t xml:space="preserve"> на условиях, определенных Тарифами Сбербанка, а также открыт ссудный счет для отражения операций, проводимых с использованием кредитной карты в соответствии с заключенным кредитным договором. </w:t>
      </w:r>
    </w:p>
    <w:p w:rsidR="003D449B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Согласно ст.</w:t>
      </w:r>
      <w:r>
        <w:fldChar w:fldCharType="begin"/>
      </w:r>
      <w:r>
        <w:rPr>
          <w:highlight w:val="none"/>
        </w:rPr>
        <w:instrText xml:space="preserve"> HYPERLINK "http://sudact.ru/law/gk-rf-chast1/razdel-iii/podrazdel-1_1/glava-22/statia-309/" </w:instrText>
      </w:r>
      <w:r>
        <w:fldChar w:fldCharType="separate"/>
      </w:r>
      <w:r>
        <w:rPr>
          <w:color w:val="0000EE"/>
          <w:sz w:val="25"/>
          <w:szCs w:val="25"/>
          <w:highlight w:val="none"/>
        </w:rPr>
        <w:t>309</w:t>
      </w:r>
      <w:r>
        <w:fldChar w:fldCharType="end"/>
      </w:r>
      <w:r>
        <w:rPr>
          <w:sz w:val="25"/>
          <w:szCs w:val="25"/>
          <w:highlight w:val="none"/>
        </w:rPr>
        <w:t xml:space="preserve"> ГК РФ обязательства должны исполняться надлежащим образом в соответствии с условиями обязательства и требования закона.</w:t>
      </w:r>
    </w:p>
    <w:p w:rsidR="003D449B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Ответчик   свои обязательства по эмиссионному контракту надлежащим образом не исполняе</w:t>
      </w:r>
      <w:r>
        <w:rPr>
          <w:sz w:val="25"/>
          <w:szCs w:val="25"/>
          <w:highlight w:val="none"/>
        </w:rPr>
        <w:t xml:space="preserve">т, и по состоянию на 24.02.2021 года образовалась задолженность в размере </w:t>
      </w:r>
      <w:r>
        <w:rPr>
          <w:rStyle w:val="cat-Sumgrp-11rplc-21"/>
          <w:sz w:val="25"/>
          <w:szCs w:val="25"/>
          <w:highlight w:val="none"/>
        </w:rPr>
        <w:t>сумма</w:t>
      </w:r>
      <w:r>
        <w:rPr>
          <w:sz w:val="25"/>
          <w:szCs w:val="25"/>
          <w:highlight w:val="none"/>
        </w:rPr>
        <w:t xml:space="preserve">, из </w:t>
      </w:r>
      <w:r>
        <w:rPr>
          <w:sz w:val="25"/>
          <w:szCs w:val="25"/>
          <w:highlight w:val="none"/>
        </w:rPr>
        <w:t>которых</w:t>
      </w:r>
      <w:r>
        <w:rPr>
          <w:sz w:val="25"/>
          <w:szCs w:val="25"/>
          <w:highlight w:val="none"/>
        </w:rPr>
        <w:t xml:space="preserve">: </w:t>
      </w:r>
      <w:r>
        <w:rPr>
          <w:rStyle w:val="cat-Sumgrp-12rplc-22"/>
          <w:sz w:val="25"/>
          <w:szCs w:val="25"/>
          <w:highlight w:val="none"/>
        </w:rPr>
        <w:t>сумма</w:t>
      </w:r>
      <w:r>
        <w:rPr>
          <w:sz w:val="25"/>
          <w:szCs w:val="25"/>
          <w:highlight w:val="none"/>
        </w:rPr>
        <w:t xml:space="preserve"> – просроченный основной долг, </w:t>
      </w:r>
      <w:r>
        <w:rPr>
          <w:rStyle w:val="cat-Sumgrp-13rplc-23"/>
          <w:sz w:val="25"/>
          <w:szCs w:val="25"/>
          <w:highlight w:val="none"/>
        </w:rPr>
        <w:t>сумма</w:t>
      </w:r>
      <w:r>
        <w:rPr>
          <w:sz w:val="25"/>
          <w:szCs w:val="25"/>
          <w:highlight w:val="none"/>
        </w:rPr>
        <w:t xml:space="preserve"> – неустойка, </w:t>
      </w:r>
      <w:r>
        <w:rPr>
          <w:rStyle w:val="cat-Sumgrp-14rplc-24"/>
          <w:sz w:val="25"/>
          <w:szCs w:val="25"/>
          <w:highlight w:val="none"/>
        </w:rPr>
        <w:t>сумма</w:t>
      </w:r>
      <w:r>
        <w:rPr>
          <w:sz w:val="25"/>
          <w:szCs w:val="25"/>
          <w:highlight w:val="none"/>
        </w:rPr>
        <w:t xml:space="preserve"> – просроченные проценты. </w:t>
      </w:r>
    </w:p>
    <w:p w:rsidR="003D449B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 xml:space="preserve">ПАО «Сбербанк России» направил </w:t>
      </w:r>
      <w:r>
        <w:rPr>
          <w:sz w:val="25"/>
          <w:szCs w:val="25"/>
          <w:highlight w:val="none"/>
        </w:rPr>
        <w:t>Амирову</w:t>
      </w:r>
      <w:r>
        <w:rPr>
          <w:sz w:val="25"/>
          <w:szCs w:val="25"/>
          <w:highlight w:val="none"/>
        </w:rPr>
        <w:t xml:space="preserve"> Т.А. требование о досрочном возврате </w:t>
      </w:r>
      <w:r>
        <w:rPr>
          <w:sz w:val="25"/>
          <w:szCs w:val="25"/>
          <w:highlight w:val="none"/>
        </w:rPr>
        <w:t xml:space="preserve">суммы кредита, уплате неустойки, однако данное требование исполнено не было. </w:t>
      </w:r>
    </w:p>
    <w:p w:rsidR="003D449B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 xml:space="preserve">Поскольку факт предоставления денежных средств в соответствии с условиями кредитного договора, ответчиком не оспорен, объективных доказательств, опровергающих факт ненадлежащего </w:t>
      </w:r>
      <w:r>
        <w:rPr>
          <w:sz w:val="25"/>
          <w:szCs w:val="25"/>
          <w:highlight w:val="none"/>
        </w:rPr>
        <w:t>исполнения ответчиком принятых на себя обязательств, суду не представлено, направленные истцом требования о необходимости погашения задолженности также не исполнены, суд признает исковые требования обоснованными и подлежащими удовлетворению в полном объёме</w:t>
      </w:r>
      <w:r>
        <w:rPr>
          <w:sz w:val="25"/>
          <w:szCs w:val="25"/>
          <w:highlight w:val="none"/>
        </w:rPr>
        <w:t xml:space="preserve"> в заявленном ПАО «Сбербанк России» размере.</w:t>
      </w:r>
    </w:p>
    <w:p w:rsidR="003D449B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Суд считает, что поскольку факт нарушения условий договора со стороны заёмщика нашёл своё подтверждение, истец вправе требовать взыскания с ответчика и штрафных санкций.</w:t>
      </w:r>
    </w:p>
    <w:p w:rsidR="003D449B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Ответчиком расчёт суммы основного долга и</w:t>
      </w:r>
      <w:r>
        <w:rPr>
          <w:sz w:val="25"/>
          <w:szCs w:val="25"/>
          <w:highlight w:val="none"/>
        </w:rPr>
        <w:t xml:space="preserve"> неустойки, предоставленный истцом, не оспорен, объективных доказательств, опровергающих факт ненадлежащего исполнения заёмщиком принятых на себя обязательств, а также доказательств, которые бы опровергали размер задолженности, ответчиком не представлено. </w:t>
      </w:r>
      <w:r>
        <w:rPr>
          <w:sz w:val="25"/>
          <w:szCs w:val="25"/>
          <w:highlight w:val="none"/>
        </w:rPr>
        <w:t>Судом доказательств, которые бы опровергали доводы стороны истца, не добыто; суд находит расчёт истца арифметически верным и считает, что он может быть положен в основу решения суда.</w:t>
      </w:r>
    </w:p>
    <w:p w:rsidR="003D449B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Согласно ч.1 ст.98 ГПК РФ стороне, в пользу которой состоялось решение су</w:t>
      </w:r>
      <w:r>
        <w:rPr>
          <w:sz w:val="25"/>
          <w:szCs w:val="25"/>
          <w:highlight w:val="none"/>
        </w:rPr>
        <w:t>да, суд присуждает возместить с другой стороны все понесенные по делу судебные расходы, за исключением случаев, предусмотренных частью второй статьи 96 настоящего Кодекса. В случае</w:t>
      </w:r>
      <w:r>
        <w:rPr>
          <w:sz w:val="25"/>
          <w:szCs w:val="25"/>
          <w:highlight w:val="none"/>
        </w:rPr>
        <w:t>,</w:t>
      </w:r>
      <w:r>
        <w:rPr>
          <w:sz w:val="25"/>
          <w:szCs w:val="25"/>
          <w:highlight w:val="none"/>
        </w:rPr>
        <w:t xml:space="preserve"> если иск удовлетворен частично, указанные в настоящей статье судебные расх</w:t>
      </w:r>
      <w:r>
        <w:rPr>
          <w:sz w:val="25"/>
          <w:szCs w:val="25"/>
          <w:highlight w:val="none"/>
        </w:rPr>
        <w:t>оды присуждаются истцу пропорционально размеру удовлетворенных судом исковых требований, а ответчику пропорционально той части исковых требований, в которой истцу отказано.</w:t>
      </w:r>
    </w:p>
    <w:p w:rsidR="003D449B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Согласно ч.1 ст.88 ГПК РФ судебные расходы состоят из государственной пошлины и изд</w:t>
      </w:r>
      <w:r>
        <w:rPr>
          <w:sz w:val="25"/>
          <w:szCs w:val="25"/>
          <w:highlight w:val="none"/>
        </w:rPr>
        <w:t>ержек, связанных с рассмотрением дела</w:t>
      </w:r>
      <w:r>
        <w:rPr>
          <w:sz w:val="25"/>
          <w:szCs w:val="25"/>
          <w:highlight w:val="none"/>
        </w:rPr>
        <w:t>.</w:t>
      </w:r>
    </w:p>
    <w:p w:rsidR="003D449B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 xml:space="preserve">ПАО «Сбербанк России» при подаче искового заявления была уплачена государственная пошлина в размере </w:t>
      </w:r>
      <w:r>
        <w:rPr>
          <w:rStyle w:val="cat-Sumgrp-18rplc-26"/>
          <w:sz w:val="25"/>
          <w:szCs w:val="25"/>
          <w:highlight w:val="none"/>
        </w:rPr>
        <w:t>сумма</w:t>
      </w:r>
      <w:r>
        <w:rPr>
          <w:sz w:val="25"/>
          <w:szCs w:val="25"/>
          <w:highlight w:val="none"/>
        </w:rPr>
        <w:t xml:space="preserve">, которая подлежит взысканию с </w:t>
      </w:r>
      <w:r>
        <w:rPr>
          <w:rStyle w:val="cat-FIOgrp-7rplc-27"/>
          <w:sz w:val="25"/>
          <w:szCs w:val="25"/>
          <w:highlight w:val="none"/>
        </w:rPr>
        <w:t>фио</w:t>
      </w:r>
      <w:r>
        <w:rPr>
          <w:sz w:val="25"/>
          <w:szCs w:val="25"/>
          <w:highlight w:val="none"/>
        </w:rPr>
        <w:t xml:space="preserve"> в пользу ПАО «Сбербанк России».</w:t>
      </w:r>
    </w:p>
    <w:p w:rsidR="003D449B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 xml:space="preserve">На основании </w:t>
      </w:r>
      <w:r>
        <w:rPr>
          <w:sz w:val="25"/>
          <w:szCs w:val="25"/>
          <w:highlight w:val="none"/>
        </w:rPr>
        <w:t>изложенного</w:t>
      </w:r>
      <w:r>
        <w:rPr>
          <w:sz w:val="25"/>
          <w:szCs w:val="25"/>
          <w:highlight w:val="none"/>
        </w:rPr>
        <w:t xml:space="preserve">, руководствуясь </w:t>
      </w:r>
      <w:r>
        <w:rPr>
          <w:sz w:val="25"/>
          <w:szCs w:val="25"/>
          <w:highlight w:val="none"/>
        </w:rPr>
        <w:t>ст.ст</w:t>
      </w:r>
      <w:r>
        <w:rPr>
          <w:sz w:val="25"/>
          <w:szCs w:val="25"/>
          <w:highlight w:val="none"/>
        </w:rPr>
        <w:t>. 194-199 ГПК РФ, суд</w:t>
      </w:r>
    </w:p>
    <w:p w:rsidR="003D449B">
      <w:pPr>
        <w:ind w:firstLine="567"/>
        <w:jc w:val="both"/>
        <w:rPr>
          <w:sz w:val="25"/>
          <w:szCs w:val="25"/>
        </w:rPr>
      </w:pPr>
    </w:p>
    <w:p w:rsidR="003D449B">
      <w:pPr>
        <w:ind w:firstLine="567"/>
        <w:jc w:val="center"/>
        <w:rPr>
          <w:sz w:val="25"/>
          <w:szCs w:val="25"/>
        </w:rPr>
      </w:pPr>
      <w:r>
        <w:rPr>
          <w:sz w:val="25"/>
          <w:szCs w:val="25"/>
          <w:highlight w:val="none"/>
        </w:rPr>
        <w:t>РЕШИЛ:</w:t>
      </w:r>
    </w:p>
    <w:p w:rsidR="003D449B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 </w:t>
      </w:r>
    </w:p>
    <w:p w:rsidR="003D449B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 xml:space="preserve">Взыскать с </w:t>
      </w:r>
      <w:r>
        <w:rPr>
          <w:sz w:val="25"/>
          <w:szCs w:val="25"/>
          <w:highlight w:val="none"/>
        </w:rPr>
        <w:t>фио</w:t>
      </w:r>
      <w:r>
        <w:rPr>
          <w:sz w:val="25"/>
          <w:szCs w:val="25"/>
          <w:highlight w:val="none"/>
        </w:rPr>
        <w:t xml:space="preserve"> в пользу ПАО «Сбербанк России»    денежные средства в размере </w:t>
      </w:r>
      <w:r>
        <w:rPr>
          <w:rStyle w:val="cat-Sumgrp-11rplc-29"/>
          <w:sz w:val="25"/>
          <w:szCs w:val="25"/>
          <w:highlight w:val="none"/>
        </w:rPr>
        <w:t>сумма</w:t>
      </w:r>
      <w:r>
        <w:rPr>
          <w:sz w:val="25"/>
          <w:szCs w:val="25"/>
          <w:highlight w:val="none"/>
        </w:rPr>
        <w:t xml:space="preserve">, расходы по уплате государственной пошлины в размере </w:t>
      </w:r>
      <w:r>
        <w:rPr>
          <w:rStyle w:val="cat-Sumgrp-18rplc-30"/>
          <w:sz w:val="25"/>
          <w:szCs w:val="25"/>
          <w:highlight w:val="none"/>
        </w:rPr>
        <w:t>сумма</w:t>
      </w:r>
    </w:p>
    <w:p w:rsidR="003D449B">
      <w:pPr>
        <w:ind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Решение может быть обжаловано в апелляционном порядке в</w:t>
      </w:r>
      <w:r>
        <w:rPr>
          <w:sz w:val="25"/>
          <w:szCs w:val="25"/>
          <w:highlight w:val="none"/>
        </w:rPr>
        <w:t xml:space="preserve"> Московский городской суд через Зюзинский районный суд </w:t>
      </w:r>
      <w:r>
        <w:rPr>
          <w:rStyle w:val="cat-Addressgrp-2rplc-31"/>
          <w:sz w:val="25"/>
          <w:szCs w:val="25"/>
          <w:highlight w:val="none"/>
        </w:rPr>
        <w:t>адрес</w:t>
      </w:r>
      <w:r>
        <w:rPr>
          <w:sz w:val="25"/>
          <w:szCs w:val="25"/>
          <w:highlight w:val="none"/>
        </w:rPr>
        <w:t xml:space="preserve"> в течение месяца со дня изготовления решения в окончательной форме.</w:t>
      </w:r>
    </w:p>
    <w:p w:rsidR="003D449B">
      <w:pPr>
        <w:ind w:firstLine="567"/>
        <w:jc w:val="both"/>
        <w:rPr>
          <w:sz w:val="25"/>
          <w:szCs w:val="25"/>
        </w:rPr>
      </w:pPr>
    </w:p>
    <w:p w:rsidR="003D449B">
      <w:pPr>
        <w:ind w:right="471" w:firstLine="567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>Судья</w:t>
      </w:r>
      <w:r>
        <w:rPr>
          <w:sz w:val="25"/>
          <w:szCs w:val="25"/>
          <w:highlight w:val="none"/>
        </w:rPr>
        <w:tab/>
      </w:r>
      <w:r>
        <w:rPr>
          <w:sz w:val="25"/>
          <w:szCs w:val="25"/>
          <w:highlight w:val="none"/>
        </w:rPr>
        <w:tab/>
      </w:r>
      <w:r>
        <w:rPr>
          <w:sz w:val="25"/>
          <w:szCs w:val="25"/>
          <w:highlight w:val="none"/>
        </w:rPr>
        <w:tab/>
      </w:r>
      <w:r>
        <w:rPr>
          <w:sz w:val="25"/>
          <w:szCs w:val="25"/>
          <w:highlight w:val="none"/>
        </w:rPr>
        <w:tab/>
      </w:r>
      <w:r>
        <w:rPr>
          <w:sz w:val="25"/>
          <w:szCs w:val="25"/>
          <w:highlight w:val="none"/>
        </w:rPr>
        <w:tab/>
      </w:r>
      <w:r>
        <w:rPr>
          <w:sz w:val="25"/>
          <w:szCs w:val="25"/>
          <w:highlight w:val="none"/>
        </w:rPr>
        <w:tab/>
      </w:r>
      <w:r>
        <w:rPr>
          <w:sz w:val="25"/>
          <w:szCs w:val="25"/>
          <w:highlight w:val="none"/>
        </w:rPr>
        <w:tab/>
      </w:r>
      <w:r>
        <w:rPr>
          <w:sz w:val="25"/>
          <w:szCs w:val="25"/>
          <w:highlight w:val="none"/>
        </w:rPr>
        <w:tab/>
      </w:r>
      <w:r>
        <w:rPr>
          <w:sz w:val="25"/>
          <w:szCs w:val="25"/>
          <w:highlight w:val="none"/>
        </w:rPr>
        <w:tab/>
        <w:t xml:space="preserve">     </w:t>
      </w:r>
    </w:p>
    <w:p w:rsidR="003D449B">
      <w:pPr>
        <w:ind w:firstLine="567"/>
        <w:jc w:val="center"/>
        <w:rPr>
          <w:sz w:val="25"/>
          <w:szCs w:val="25"/>
        </w:rPr>
      </w:pPr>
    </w:p>
    <w:p w:rsidR="003D449B">
      <w:pPr>
        <w:rPr>
          <w:sz w:val="25"/>
          <w:szCs w:val="25"/>
        </w:rPr>
      </w:pPr>
    </w:p>
    <w:p w:rsidR="003D449B">
      <w:pPr>
        <w:rPr>
          <w:sz w:val="25"/>
          <w:szCs w:val="25"/>
        </w:rPr>
      </w:pPr>
    </w:p>
    <w:p w:rsidR="003D449B">
      <w:pPr>
        <w:rPr>
          <w:sz w:val="25"/>
          <w:szCs w:val="25"/>
        </w:rPr>
      </w:pPr>
    </w:p>
    <w:p w:rsidR="003D449B">
      <w:pPr>
        <w:rPr>
          <w:sz w:val="25"/>
          <w:szCs w:val="25"/>
        </w:rPr>
      </w:pPr>
    </w:p>
    <w:p w:rsidR="003D449B">
      <w:pPr>
        <w:rPr>
          <w:sz w:val="25"/>
          <w:szCs w:val="25"/>
        </w:rPr>
      </w:pPr>
    </w:p>
    <w:p w:rsidR="003D449B">
      <w:pPr>
        <w:rPr>
          <w:sz w:val="25"/>
          <w:szCs w:val="25"/>
        </w:rPr>
      </w:pPr>
    </w:p>
    <w:p w:rsidR="003D449B">
      <w:pPr>
        <w:rPr>
          <w:sz w:val="25"/>
          <w:szCs w:val="25"/>
        </w:rPr>
      </w:pPr>
    </w:p>
    <w:p w:rsidR="003D449B">
      <w:pPr>
        <w:rPr>
          <w:sz w:val="25"/>
          <w:szCs w:val="25"/>
        </w:rPr>
      </w:pPr>
    </w:p>
    <w:p w:rsidR="003D449B">
      <w:pPr>
        <w:rPr>
          <w:sz w:val="25"/>
          <w:szCs w:val="25"/>
        </w:rPr>
      </w:pPr>
    </w:p>
    <w:p w:rsidR="003D449B">
      <w:pPr>
        <w:rPr>
          <w:sz w:val="25"/>
          <w:szCs w:val="25"/>
        </w:rPr>
      </w:pPr>
    </w:p>
    <w:p w:rsidR="003D449B">
      <w:pPr>
        <w:rPr>
          <w:sz w:val="25"/>
          <w:szCs w:val="25"/>
        </w:rPr>
      </w:pPr>
    </w:p>
    <w:p w:rsidR="003D449B">
      <w:pPr>
        <w:rPr>
          <w:sz w:val="25"/>
          <w:szCs w:val="25"/>
        </w:rPr>
      </w:pPr>
    </w:p>
    <w:p w:rsidR="003D449B">
      <w:pPr>
        <w:rPr>
          <w:sz w:val="25"/>
          <w:szCs w:val="25"/>
        </w:rPr>
      </w:pPr>
    </w:p>
    <w:p w:rsidR="003D449B">
      <w:pPr>
        <w:rPr>
          <w:sz w:val="25"/>
          <w:szCs w:val="25"/>
        </w:rPr>
      </w:pPr>
    </w:p>
    <w:p w:rsidR="003D449B">
      <w:pPr>
        <w:rPr>
          <w:sz w:val="25"/>
          <w:szCs w:val="25"/>
        </w:rPr>
      </w:pPr>
    </w:p>
    <w:p w:rsidR="003D449B">
      <w:pPr>
        <w:rPr>
          <w:sz w:val="25"/>
          <w:szCs w:val="25"/>
        </w:rPr>
      </w:pPr>
    </w:p>
    <w:sectPr>
      <w:pgSz w:w="12240" w:h="15840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t-Addressgrp-0rplc-0">
    <w:name w:val="cat-Address grp-0 rplc-0"/>
    <w:basedOn w:val="DefaultParagraphFont"/>
  </w:style>
  <w:style w:type="character" w:customStyle="1" w:styleId="cat-Addressgrp-1rplc-1">
    <w:name w:val="cat-Address grp-1 rplc-1"/>
    <w:basedOn w:val="DefaultParagraphFont"/>
  </w:style>
  <w:style w:type="character" w:customStyle="1" w:styleId="cat-FIOgrp-5rplc-3">
    <w:name w:val="cat-FIO grp-5 rplc-3"/>
    <w:basedOn w:val="DefaultParagraphFont"/>
  </w:style>
  <w:style w:type="character" w:customStyle="1" w:styleId="cat-Sumgrp-10rplc-9">
    <w:name w:val="cat-Sum grp-10 rplc-9"/>
    <w:basedOn w:val="DefaultParagraphFont"/>
  </w:style>
  <w:style w:type="character" w:customStyle="1" w:styleId="cat-Sumgrp-11rplc-10">
    <w:name w:val="cat-Sum grp-11 rplc-10"/>
    <w:basedOn w:val="DefaultParagraphFont"/>
  </w:style>
  <w:style w:type="character" w:customStyle="1" w:styleId="cat-Sumgrp-12rplc-11">
    <w:name w:val="cat-Sum grp-12 rplc-11"/>
    <w:basedOn w:val="DefaultParagraphFont"/>
  </w:style>
  <w:style w:type="character" w:customStyle="1" w:styleId="cat-Sumgrp-13rplc-12">
    <w:name w:val="cat-Sum grp-13 rplc-12"/>
    <w:basedOn w:val="DefaultParagraphFont"/>
  </w:style>
  <w:style w:type="character" w:customStyle="1" w:styleId="cat-Sumgrp-14rplc-13">
    <w:name w:val="cat-Sum grp-14 rplc-13"/>
    <w:basedOn w:val="DefaultParagraphFont"/>
  </w:style>
  <w:style w:type="character" w:customStyle="1" w:styleId="cat-Sumgrp-11rplc-14">
    <w:name w:val="cat-Sum grp-11 rplc-14"/>
    <w:basedOn w:val="DefaultParagraphFont"/>
  </w:style>
  <w:style w:type="character" w:customStyle="1" w:styleId="cat-Sumgrp-15rplc-15">
    <w:name w:val="cat-Sum grp-15 rplc-15"/>
    <w:basedOn w:val="DefaultParagraphFont"/>
  </w:style>
  <w:style w:type="character" w:customStyle="1" w:styleId="cat-Sumgrp-16rplc-18">
    <w:name w:val="cat-Sum grp-16 rplc-18"/>
    <w:basedOn w:val="DefaultParagraphFont"/>
  </w:style>
  <w:style w:type="character" w:customStyle="1" w:styleId="cat-Sumgrp-17rplc-20">
    <w:name w:val="cat-Sum grp-17 rplc-20"/>
    <w:basedOn w:val="DefaultParagraphFont"/>
  </w:style>
  <w:style w:type="character" w:customStyle="1" w:styleId="cat-Sumgrp-11rplc-21">
    <w:name w:val="cat-Sum grp-11 rplc-21"/>
    <w:basedOn w:val="DefaultParagraphFont"/>
  </w:style>
  <w:style w:type="character" w:customStyle="1" w:styleId="cat-Sumgrp-12rplc-22">
    <w:name w:val="cat-Sum grp-12 rplc-22"/>
    <w:basedOn w:val="DefaultParagraphFont"/>
  </w:style>
  <w:style w:type="character" w:customStyle="1" w:styleId="cat-Sumgrp-13rplc-23">
    <w:name w:val="cat-Sum grp-13 rplc-23"/>
    <w:basedOn w:val="DefaultParagraphFont"/>
  </w:style>
  <w:style w:type="character" w:customStyle="1" w:styleId="cat-Sumgrp-14rplc-24">
    <w:name w:val="cat-Sum grp-14 rplc-24"/>
    <w:basedOn w:val="DefaultParagraphFont"/>
  </w:style>
  <w:style w:type="character" w:customStyle="1" w:styleId="cat-Sumgrp-18rplc-26">
    <w:name w:val="cat-Sum grp-18 rplc-26"/>
    <w:basedOn w:val="DefaultParagraphFont"/>
  </w:style>
  <w:style w:type="character" w:customStyle="1" w:styleId="cat-FIOgrp-7rplc-27">
    <w:name w:val="cat-FIO grp-7 rplc-27"/>
    <w:basedOn w:val="DefaultParagraphFont"/>
  </w:style>
  <w:style w:type="character" w:customStyle="1" w:styleId="cat-Sumgrp-11rplc-29">
    <w:name w:val="cat-Sum grp-11 rplc-29"/>
    <w:basedOn w:val="DefaultParagraphFont"/>
  </w:style>
  <w:style w:type="character" w:customStyle="1" w:styleId="cat-Sumgrp-18rplc-30">
    <w:name w:val="cat-Sum grp-18 rplc-30"/>
    <w:basedOn w:val="DefaultParagraphFont"/>
  </w:style>
  <w:style w:type="character" w:customStyle="1" w:styleId="cat-Addressgrp-2rplc-31">
    <w:name w:val="cat-Address grp-2 rplc-31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