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B66796" w14:textId="77777777" w:rsidR="00000000" w:rsidRDefault="00EA7F0B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ОПРЕДЕЛЕНИЕ</w:t>
      </w:r>
    </w:p>
    <w:p w14:paraId="32B0A8DB" w14:textId="77777777" w:rsidR="00000000" w:rsidRDefault="00EA7F0B">
      <w:pPr>
        <w:rPr>
          <w:lang w:val="en-BE" w:eastAsia="en-BE" w:bidi="ar-SA"/>
        </w:rPr>
      </w:pPr>
    </w:p>
    <w:p w14:paraId="3E4A9859" w14:textId="77777777" w:rsidR="00000000" w:rsidRDefault="00EA7F0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10 августа 2023 года   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14:paraId="4EC3706A" w14:textId="77777777" w:rsidR="00000000" w:rsidRDefault="00EA7F0B">
      <w:pPr>
        <w:jc w:val="both"/>
        <w:rPr>
          <w:lang w:val="en-BE" w:eastAsia="en-BE" w:bidi="ar-SA"/>
        </w:rPr>
      </w:pPr>
    </w:p>
    <w:p w14:paraId="3ABC636E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Дорогомиловский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Головацкой А.А., при помощнике судьи </w:t>
      </w:r>
      <w:r>
        <w:rPr>
          <w:rStyle w:val="cat-FIOgrp-8rplc-3"/>
          <w:lang w:val="en-BE" w:eastAsia="en-BE" w:bidi="ar-SA"/>
        </w:rPr>
        <w:t>фио</w:t>
      </w:r>
      <w:r>
        <w:rPr>
          <w:lang w:val="en-BE" w:eastAsia="en-BE" w:bidi="ar-SA"/>
        </w:rPr>
        <w:t>, рассм</w:t>
      </w:r>
      <w:r>
        <w:rPr>
          <w:lang w:val="en-BE" w:eastAsia="en-BE" w:bidi="ar-SA"/>
        </w:rPr>
        <w:t>отрев в открытом судебном заседании гражданское дело № 2-3795/2023 (УИД 11RS0002-01-2022-002584-16) по иску ПАО Сбербанк в лице филиала – Северо-Западный Банк ПАО Сбербанк к ООО СК «Сбербанк страхование жизни» о взыскании задолженности по кредитному догово</w:t>
      </w:r>
      <w:r>
        <w:rPr>
          <w:lang w:val="en-BE" w:eastAsia="en-BE" w:bidi="ar-SA"/>
        </w:rPr>
        <w:t xml:space="preserve">ру, </w:t>
      </w:r>
    </w:p>
    <w:p w14:paraId="683F5364" w14:textId="77777777" w:rsidR="00000000" w:rsidRDefault="00EA7F0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06F1AC3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 – Северо-Западный Банк ПАО Сбербанк обратилось в суд с иском к Администрации </w:t>
      </w:r>
      <w:r>
        <w:rPr>
          <w:rStyle w:val="cat-FIOgrp-9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«Воркута» о взыскании задолженности по кредитному договору.</w:t>
      </w:r>
    </w:p>
    <w:p w14:paraId="21629936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Воркутинского городского суда </w:t>
      </w:r>
      <w:r>
        <w:rPr>
          <w:rStyle w:val="cat-Addressgrp-2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07.11.2022 года про</w:t>
      </w:r>
      <w:r>
        <w:rPr>
          <w:lang w:val="en-BE" w:eastAsia="en-BE" w:bidi="ar-SA"/>
        </w:rPr>
        <w:t xml:space="preserve">изведена замена ответчика Администрации </w:t>
      </w:r>
      <w:r>
        <w:rPr>
          <w:rStyle w:val="cat-FIOgrp-9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«Воркута» на ООО СК «Сбербанк страхование жизни».</w:t>
      </w:r>
    </w:p>
    <w:p w14:paraId="5E9C7572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судом на обсуждение поставлен вопрос о замене ненадлежащего ответчика ООО СК «Сбербанк страхование жизни» на Олейника Вячеслава Владимировича</w:t>
      </w:r>
      <w:r>
        <w:rPr>
          <w:lang w:val="en-BE" w:eastAsia="en-BE" w:bidi="ar-SA"/>
        </w:rPr>
        <w:t>.</w:t>
      </w:r>
    </w:p>
    <w:p w14:paraId="33528589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Лица, участвующие в деле, в судебное заседание не явились, извещены о времени и месте рассмотрения дела надлежащим образом, о причинах неявки не уведомили.</w:t>
      </w:r>
    </w:p>
    <w:p w14:paraId="7FD99A8E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41 ГПК РФ суд при подготовке дела или во время его разбирательства в суд</w:t>
      </w:r>
      <w:r>
        <w:rPr>
          <w:lang w:val="en-BE" w:eastAsia="en-BE" w:bidi="ar-SA"/>
        </w:rPr>
        <w:t>е первой инстанции может допустить по ходатайству или с согласия истца замену ненадлежащего ответчика надлежащим. После замены ненадлежащего ответчика надлежащим подготовка и рассмотрение дела производятся с самого начала.</w:t>
      </w:r>
    </w:p>
    <w:p w14:paraId="5A0B25DB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разъяснено в </w:t>
      </w:r>
      <w:hyperlink r:id="rId5" w:history="1">
        <w:r>
          <w:rPr>
            <w:color w:val="0000EE"/>
            <w:lang w:val="en-BE" w:eastAsia="en-BE" w:bidi="ar-SA"/>
          </w:rPr>
          <w:t>п. 23</w:t>
        </w:r>
      </w:hyperlink>
      <w:r>
        <w:rPr>
          <w:lang w:val="en-BE" w:eastAsia="en-BE" w:bidi="ar-SA"/>
        </w:rPr>
        <w:t xml:space="preserve"> постановления Пленума Верховного Суда РФ от 24 июня 2008 года № 11 «О подготовке гражданских дел к судебному разбирательству», при замене ненадлежащего ответчика надлежащим необходимо учитывать, что дело может рассматриваться т</w:t>
      </w:r>
      <w:r>
        <w:rPr>
          <w:lang w:val="en-BE" w:eastAsia="en-BE" w:bidi="ar-SA"/>
        </w:rPr>
        <w:t xml:space="preserve">ем же судом, если с учетом нового ответчика его подсудность не изменилась. Если подсудность дела изменилась, дело, исходя из положений, закрепленных в </w:t>
      </w:r>
      <w:hyperlink r:id="rId6" w:history="1">
        <w:r>
          <w:rPr>
            <w:color w:val="0000EE"/>
            <w:lang w:val="en-BE" w:eastAsia="en-BE" w:bidi="ar-SA"/>
          </w:rPr>
          <w:t>части 1 статьи 47</w:t>
        </w:r>
      </w:hyperlink>
      <w:r>
        <w:rPr>
          <w:lang w:val="en-BE" w:eastAsia="en-BE" w:bidi="ar-SA"/>
        </w:rPr>
        <w:t xml:space="preserve"> Конституции Российской Федерации, должно быть</w:t>
      </w:r>
      <w:r>
        <w:rPr>
          <w:lang w:val="en-BE" w:eastAsia="en-BE" w:bidi="ar-SA"/>
        </w:rPr>
        <w:t xml:space="preserve"> передано в суд, которому оно стало подсудно.</w:t>
      </w:r>
    </w:p>
    <w:p w14:paraId="78B82E87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47 Конституции РФ, никто не может быть лишен права на рассмотрение его дела в том суде и тем судьей, к подсудности которых оно отнесено законом.</w:t>
      </w:r>
    </w:p>
    <w:p w14:paraId="4CDDE76E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Положениями ст. 28 ГПК РФ предусмотрено</w:t>
      </w:r>
      <w:r>
        <w:rPr>
          <w:lang w:val="en-BE" w:eastAsia="en-BE" w:bidi="ar-SA"/>
        </w:rPr>
        <w:t xml:space="preserve">, что иск предъявляется в суд по месту жительства ответчика. </w:t>
      </w:r>
    </w:p>
    <w:p w14:paraId="7804407F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 ч. 2 ст. 33 ГПК РФ суд передает дело на рассмотрение другого суда, если при рассмотрении дела в данном суде выявилось, что оно было принято к производству с нарушением правил подсудн</w:t>
      </w:r>
      <w:r>
        <w:rPr>
          <w:lang w:val="en-BE" w:eastAsia="en-BE" w:bidi="ar-SA"/>
        </w:rPr>
        <w:t>ости.</w:t>
      </w:r>
    </w:p>
    <w:p w14:paraId="562B4AA9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12.05.2017 года между ПАО Сбербанк и </w:t>
      </w:r>
      <w:r>
        <w:rPr>
          <w:rStyle w:val="cat-FIOgrp-11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 19717, в соответствии с которым истец предоставил ответчику кредит в сумме </w:t>
      </w:r>
      <w:r>
        <w:rPr>
          <w:rStyle w:val="cat-Sumgrp-2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60 месяцев под 19,9 % годовых.</w:t>
      </w:r>
    </w:p>
    <w:p w14:paraId="55DC1F6B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rStyle w:val="cat-FIOgrp-12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 18.01.201</w:t>
      </w:r>
      <w:r>
        <w:rPr>
          <w:lang w:val="en-BE" w:eastAsia="en-BE" w:bidi="ar-SA"/>
        </w:rPr>
        <w:t>9 года.</w:t>
      </w:r>
    </w:p>
    <w:p w14:paraId="78AE2688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обращении с иском к Администрации </w:t>
      </w:r>
      <w:r>
        <w:rPr>
          <w:rStyle w:val="cat-FIOgrp-9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«Воркута» о взыскании задолженности по кредитному договору ПАО Сбербанк было заявлено ходатайство о замене ответчика в случае, если будут установлены наследники, принявшие наследство после смерти </w:t>
      </w:r>
      <w:r>
        <w:rPr>
          <w:rStyle w:val="cat-FIOgrp-13rplc-12"/>
          <w:lang w:val="en-BE" w:eastAsia="en-BE" w:bidi="ar-SA"/>
        </w:rPr>
        <w:t>фио</w:t>
      </w:r>
    </w:p>
    <w:p w14:paraId="4C09275E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отз</w:t>
      </w:r>
      <w:r>
        <w:rPr>
          <w:lang w:val="en-BE" w:eastAsia="en-BE" w:bidi="ar-SA"/>
        </w:rPr>
        <w:t xml:space="preserve">ыва Администрации </w:t>
      </w:r>
      <w:r>
        <w:rPr>
          <w:rStyle w:val="cat-FIOgrp-9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«Воркута» на исковое заявление (л.д. 76-78) следует, что было установлено наличие завещания, составленного </w:t>
      </w:r>
      <w:r>
        <w:rPr>
          <w:rStyle w:val="cat-FIOgrp-11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Олейник В.В., что исключает признание наследственного имущества выморочным.</w:t>
      </w:r>
    </w:p>
    <w:p w14:paraId="163813A6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Постановлением нотариуса нотариальной </w:t>
      </w:r>
      <w:r>
        <w:rPr>
          <w:lang w:val="en-BE" w:eastAsia="en-BE" w:bidi="ar-SA"/>
        </w:rPr>
        <w:t xml:space="preserve">палаты </w:t>
      </w:r>
      <w:r>
        <w:rPr>
          <w:rStyle w:val="cat-Addressgrp-2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5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отказано в совершении нотариального действия – выдаче Администрации </w:t>
      </w:r>
      <w:r>
        <w:rPr>
          <w:rStyle w:val="cat-FIOgrp-9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«Воркута» свидетельства о праве на наследство в порядке наследования выморочного имущества. При этом из постановления следует, что совместно с наследодателем по его ме</w:t>
      </w:r>
      <w:r>
        <w:rPr>
          <w:lang w:val="en-BE" w:eastAsia="en-BE" w:bidi="ar-SA"/>
        </w:rPr>
        <w:t xml:space="preserve">сту жительства на дату смерти был зарегистрирован его пасынок Олейник Вячеслав Владимирович, </w:t>
      </w:r>
      <w:r>
        <w:rPr>
          <w:rStyle w:val="cat-PassportDatagrp-21rplc-2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являющийся наследником седьмой очереди на имущество </w:t>
      </w:r>
      <w:r>
        <w:rPr>
          <w:rStyle w:val="cat-FIOgrp-13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, который является фактически принявшим наследство на имущество умершего </w:t>
      </w:r>
      <w:r>
        <w:rPr>
          <w:rStyle w:val="cat-FIOgrp-13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согласно п. </w:t>
      </w:r>
      <w:r>
        <w:rPr>
          <w:lang w:val="en-BE" w:eastAsia="en-BE" w:bidi="ar-SA"/>
        </w:rPr>
        <w:t>2 ст. 1153 ГК РФ (л.д. 82).</w:t>
      </w:r>
    </w:p>
    <w:p w14:paraId="00567A43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согласно ответу Отдела ЗАГС </w:t>
      </w:r>
      <w:r>
        <w:rPr>
          <w:rStyle w:val="cat-Addressgrp-4rplc-2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 запрос суда, в программном комплексе ЕГР ЗАГС имеется запись о рождении № 2489 от 14.07.1984 года, составленная бюро ЗАГС исполкома Вологодского городского Совета народных депутат</w:t>
      </w:r>
      <w:r>
        <w:rPr>
          <w:lang w:val="en-BE" w:eastAsia="en-BE" w:bidi="ar-SA"/>
        </w:rPr>
        <w:t xml:space="preserve">ов </w:t>
      </w:r>
      <w:r>
        <w:rPr>
          <w:rStyle w:val="cat-Addressgrp-3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отношении </w:t>
      </w:r>
      <w:r>
        <w:rPr>
          <w:rStyle w:val="cat-FIOgrp-17rplc-25"/>
          <w:lang w:val="en-BE" w:eastAsia="en-BE" w:bidi="ar-SA"/>
        </w:rPr>
        <w:t>фио</w:t>
      </w:r>
      <w:r>
        <w:rPr>
          <w:lang w:val="en-BE" w:eastAsia="en-BE" w:bidi="ar-SA"/>
        </w:rPr>
        <w:t>.</w:t>
      </w:r>
    </w:p>
    <w:p w14:paraId="109CFD3D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из материалов дела следует, что после замены ответчика Администрации </w:t>
      </w:r>
      <w:r>
        <w:rPr>
          <w:rStyle w:val="cat-FIOgrp-9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«Воркута» на ООО СК «Сбербанк страхование жизни», ПАО Сбербанк исковые требования не уточняло.</w:t>
      </w:r>
    </w:p>
    <w:p w14:paraId="71ABB6AB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присущего гражданскому судопроизводству принципа </w:t>
      </w:r>
      <w:r>
        <w:rPr>
          <w:lang w:val="en-BE" w:eastAsia="en-BE" w:bidi="ar-SA"/>
        </w:rPr>
        <w:t>диспозитивности только истец определяет, защищать ему или нет свое нарушенное или оспариваемое право (</w:t>
      </w:r>
      <w:hyperlink r:id="rId7" w:history="1">
        <w:r>
          <w:rPr>
            <w:color w:val="0000EE"/>
            <w:lang w:val="en-BE" w:eastAsia="en-BE" w:bidi="ar-SA"/>
          </w:rPr>
          <w:t>часть 1 статьи 4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Федерации), к кому предъявлять иск (</w:t>
      </w:r>
      <w:hyperlink r:id="rId8" w:history="1">
        <w:r>
          <w:rPr>
            <w:color w:val="0000EE"/>
            <w:lang w:val="en-BE" w:eastAsia="en-BE" w:bidi="ar-SA"/>
          </w:rPr>
          <w:t>пункт 3 части 2 статьи 131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Федерации) и в каком объеме требовать от суда защиты (</w:t>
      </w:r>
      <w:hyperlink r:id="rId9" w:history="1">
        <w:r>
          <w:rPr>
            <w:color w:val="0000EE"/>
            <w:lang w:val="en-BE" w:eastAsia="en-BE" w:bidi="ar-SA"/>
          </w:rPr>
          <w:t>часть 3 статьи 196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Федерации). </w:t>
      </w:r>
    </w:p>
    <w:p w14:paraId="638BBE74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внимание, что истец сам выбирает способ защиты нарушенного права и определяет ответчика, к кому предъявляет иск,</w:t>
      </w:r>
      <w:r>
        <w:rPr>
          <w:lang w:val="en-BE" w:eastAsia="en-BE" w:bidi="ar-SA"/>
        </w:rPr>
        <w:t xml:space="preserve"> на момент рассмотрения настоящего дела Дорогомиловским районным судом </w:t>
      </w:r>
      <w:r>
        <w:rPr>
          <w:rStyle w:val="cat-Addressgrp-5rplc-2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ПАО Сбербанк уточненные требования к ООО СК «Сбербанк страхование жизни» о признании случая страховым, взыскании суммы страхового возмещения не предъявляло, правоотношения сторон </w:t>
      </w:r>
      <w:r>
        <w:rPr>
          <w:lang w:val="en-BE" w:eastAsia="en-BE" w:bidi="ar-SA"/>
        </w:rPr>
        <w:t xml:space="preserve">в рамках заявленных требований регулируются главой 42 Гражданского кодекса РФ, суд заменяет ненадлежащего ответчика ООО СК «Сбербанк страхование жизни» на надлежащего Олейника Вячеслава Владимировича, проживающего по адресу: </w:t>
      </w:r>
      <w:r>
        <w:rPr>
          <w:rStyle w:val="cat-Addressgrp-6rplc-29"/>
          <w:lang w:val="en-BE" w:eastAsia="en-BE" w:bidi="ar-SA"/>
        </w:rPr>
        <w:t>адрес</w:t>
      </w:r>
      <w:r>
        <w:rPr>
          <w:lang w:val="en-BE" w:eastAsia="en-BE" w:bidi="ar-SA"/>
        </w:rPr>
        <w:t>, который не относится к ю</w:t>
      </w:r>
      <w:r>
        <w:rPr>
          <w:lang w:val="en-BE" w:eastAsia="en-BE" w:bidi="ar-SA"/>
        </w:rPr>
        <w:t xml:space="preserve">рисдикции Дорогомиловского районного суда </w:t>
      </w:r>
      <w:r>
        <w:rPr>
          <w:rStyle w:val="cat-Addressgrp-5rplc-30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03164F9F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суд считает необходимым передать дело для рассмотрения в Воркутинский городской суд </w:t>
      </w:r>
      <w:r>
        <w:rPr>
          <w:rStyle w:val="cat-Addressgrp-2rplc-31"/>
          <w:lang w:val="en-BE" w:eastAsia="en-BE" w:bidi="ar-SA"/>
        </w:rPr>
        <w:t>адрес</w:t>
      </w:r>
      <w:r>
        <w:rPr>
          <w:lang w:val="en-BE" w:eastAsia="en-BE" w:bidi="ar-SA"/>
        </w:rPr>
        <w:t>, к подсудности которого отнесено место жительства ответчика.</w:t>
      </w:r>
    </w:p>
    <w:p w14:paraId="09F93452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</w:t>
      </w:r>
      <w:r>
        <w:rPr>
          <w:lang w:val="en-BE" w:eastAsia="en-BE" w:bidi="ar-SA"/>
        </w:rPr>
        <w:t>оводствуясь ст.ст. 41, 28, 33, 224, 225 ГПК РФ, суд</w:t>
      </w:r>
    </w:p>
    <w:p w14:paraId="3858F20D" w14:textId="77777777" w:rsidR="00000000" w:rsidRDefault="00EA7F0B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474AB966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Допустить замену ненадлежащего ответчика ООО СК «Сбербанк страхование жизни» на надлежащего Олейника Вячеслава Владимировича.</w:t>
      </w:r>
    </w:p>
    <w:p w14:paraId="18B76310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Передать гражданское дело № 2-3795/2023 по иску ПАО Сбербанк в лице</w:t>
      </w:r>
      <w:r>
        <w:rPr>
          <w:lang w:val="en-BE" w:eastAsia="en-BE" w:bidi="ar-SA"/>
        </w:rPr>
        <w:t xml:space="preserve"> филиала – Северо-Западный Банк ПАО Сбербанк к Олейнику Вячеславу Владимировичу о взыскании задолженности по кредитному договору на рассмотрение в Воркутинский городской суд </w:t>
      </w:r>
      <w:r>
        <w:rPr>
          <w:rStyle w:val="cat-Addressgrp-2rplc-34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4E600A98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определение может быть подана частная жалоба в течение пятнадцати дней с</w:t>
      </w:r>
      <w:r>
        <w:rPr>
          <w:lang w:val="en-BE" w:eastAsia="en-BE" w:bidi="ar-SA"/>
        </w:rPr>
        <w:t xml:space="preserve">о дня его принятия в Московский городской суд. </w:t>
      </w:r>
    </w:p>
    <w:p w14:paraId="55834262" w14:textId="77777777" w:rsidR="00000000" w:rsidRDefault="00EA7F0B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27968949" w14:textId="77777777" w:rsidR="00000000" w:rsidRDefault="00EA7F0B">
      <w:pPr>
        <w:jc w:val="both"/>
        <w:rPr>
          <w:lang w:val="en-BE" w:eastAsia="en-BE" w:bidi="ar-SA"/>
        </w:rPr>
      </w:pPr>
    </w:p>
    <w:p w14:paraId="551D8DA2" w14:textId="77777777" w:rsidR="00000000" w:rsidRDefault="00EA7F0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             А.А.Головацкая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F0B"/>
    <w:rsid w:val="00E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631849F"/>
  <w15:chartTrackingRefBased/>
  <w15:docId w15:val="{005B2011-4519-4AF8-96BC-587D322B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8rplc-3">
    <w:name w:val="cat-FIO grp-8 rplc-3"/>
    <w:basedOn w:val="a0"/>
  </w:style>
  <w:style w:type="character" w:customStyle="1" w:styleId="cat-FIOgrp-9rplc-4">
    <w:name w:val="cat-FIO grp-9 rplc-4"/>
    <w:basedOn w:val="a0"/>
  </w:style>
  <w:style w:type="character" w:customStyle="1" w:styleId="cat-Addressgrp-2rplc-5">
    <w:name w:val="cat-Address grp-2 rplc-5"/>
    <w:basedOn w:val="a0"/>
  </w:style>
  <w:style w:type="character" w:customStyle="1" w:styleId="cat-FIOgrp-9rplc-6">
    <w:name w:val="cat-FIO grp-9 rplc-6"/>
    <w:basedOn w:val="a0"/>
  </w:style>
  <w:style w:type="character" w:customStyle="1" w:styleId="cat-FIOgrp-11rplc-8">
    <w:name w:val="cat-FIO grp-11 rplc-8"/>
    <w:basedOn w:val="a0"/>
  </w:style>
  <w:style w:type="character" w:customStyle="1" w:styleId="cat-Sumgrp-20rplc-9">
    <w:name w:val="cat-Sum grp-20 rplc-9"/>
    <w:basedOn w:val="a0"/>
  </w:style>
  <w:style w:type="character" w:customStyle="1" w:styleId="cat-FIOgrp-12rplc-10">
    <w:name w:val="cat-FIO grp-12 rplc-10"/>
    <w:basedOn w:val="a0"/>
  </w:style>
  <w:style w:type="character" w:customStyle="1" w:styleId="cat-FIOgrp-9rplc-11">
    <w:name w:val="cat-FIO grp-9 rplc-11"/>
    <w:basedOn w:val="a0"/>
  </w:style>
  <w:style w:type="character" w:customStyle="1" w:styleId="cat-FIOgrp-13rplc-12">
    <w:name w:val="cat-FIO grp-13 rplc-12"/>
    <w:basedOn w:val="a0"/>
  </w:style>
  <w:style w:type="character" w:customStyle="1" w:styleId="cat-FIOgrp-9rplc-13">
    <w:name w:val="cat-FIO grp-9 rplc-13"/>
    <w:basedOn w:val="a0"/>
  </w:style>
  <w:style w:type="character" w:customStyle="1" w:styleId="cat-FIOgrp-11rplc-14">
    <w:name w:val="cat-FIO grp-11 rplc-14"/>
    <w:basedOn w:val="a0"/>
  </w:style>
  <w:style w:type="character" w:customStyle="1" w:styleId="cat-Addressgrp-2rplc-16">
    <w:name w:val="cat-Address grp-2 rplc-16"/>
    <w:basedOn w:val="a0"/>
  </w:style>
  <w:style w:type="character" w:customStyle="1" w:styleId="cat-FIOgrp-15rplc-17">
    <w:name w:val="cat-FIO grp-15 rplc-17"/>
    <w:basedOn w:val="a0"/>
  </w:style>
  <w:style w:type="character" w:customStyle="1" w:styleId="cat-FIOgrp-9rplc-18">
    <w:name w:val="cat-FIO grp-9 rplc-18"/>
    <w:basedOn w:val="a0"/>
  </w:style>
  <w:style w:type="character" w:customStyle="1" w:styleId="cat-PassportDatagrp-21rplc-20">
    <w:name w:val="cat-PassportData grp-21 rplc-20"/>
    <w:basedOn w:val="a0"/>
  </w:style>
  <w:style w:type="character" w:customStyle="1" w:styleId="cat-FIOgrp-13rplc-21">
    <w:name w:val="cat-FIO grp-13 rplc-21"/>
    <w:basedOn w:val="a0"/>
  </w:style>
  <w:style w:type="character" w:customStyle="1" w:styleId="cat-FIOgrp-13rplc-22">
    <w:name w:val="cat-FIO grp-13 rplc-22"/>
    <w:basedOn w:val="a0"/>
  </w:style>
  <w:style w:type="character" w:customStyle="1" w:styleId="cat-Addressgrp-4rplc-23">
    <w:name w:val="cat-Address grp-4 rplc-23"/>
    <w:basedOn w:val="a0"/>
  </w:style>
  <w:style w:type="character" w:customStyle="1" w:styleId="cat-Addressgrp-3rplc-24">
    <w:name w:val="cat-Address grp-3 rplc-24"/>
    <w:basedOn w:val="a0"/>
  </w:style>
  <w:style w:type="character" w:customStyle="1" w:styleId="cat-FIOgrp-17rplc-25">
    <w:name w:val="cat-FIO grp-17 rplc-25"/>
    <w:basedOn w:val="a0"/>
  </w:style>
  <w:style w:type="character" w:customStyle="1" w:styleId="cat-FIOgrp-9rplc-26">
    <w:name w:val="cat-FIO grp-9 rplc-26"/>
    <w:basedOn w:val="a0"/>
  </w:style>
  <w:style w:type="character" w:customStyle="1" w:styleId="cat-Addressgrp-5rplc-27">
    <w:name w:val="cat-Address grp-5 rplc-27"/>
    <w:basedOn w:val="a0"/>
  </w:style>
  <w:style w:type="character" w:customStyle="1" w:styleId="cat-Addressgrp-6rplc-29">
    <w:name w:val="cat-Address grp-6 rplc-29"/>
    <w:basedOn w:val="a0"/>
  </w:style>
  <w:style w:type="character" w:customStyle="1" w:styleId="cat-Addressgrp-5rplc-30">
    <w:name w:val="cat-Address grp-5 rplc-30"/>
    <w:basedOn w:val="a0"/>
  </w:style>
  <w:style w:type="character" w:customStyle="1" w:styleId="cat-Addressgrp-2rplc-31">
    <w:name w:val="cat-Address grp-2 rplc-31"/>
    <w:basedOn w:val="a0"/>
  </w:style>
  <w:style w:type="character" w:customStyle="1" w:styleId="cat-Addressgrp-2rplc-34">
    <w:name w:val="cat-Address grp-2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F658218D4B9E9607C58F0B853260319CCC01A1CE3343B0C68EB144FF81E80ED058D289165A942FA3CB14BC1C501CBD92EB4493BDD73621A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F658218D4B9E9607C58F0B853260319CCC01A1CE3343B0C68EB144FF81E80ED058D28916CA840F368EB5BC58C54C1C729AE573DC37329B46717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arantF1://10003000.4701" TargetMode="External"/><Relationship Id="rId11" Type="http://schemas.openxmlformats.org/officeDocument/2006/relationships/theme" Target="theme/theme1.xml"/><Relationship Id="rId5" Type="http://schemas.openxmlformats.org/officeDocument/2006/relationships/hyperlink" Target="garantF1://1687421.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F658218D4B9E9607C58F0B853260319CCC01A1CE3343B0C68EB144FF81E80ED058D28916CA849F060EB5BC58C54C1C729AE573DC37329B46717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