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pPr>
      <w:r>
        <w:rPr>
          <w:rFonts w:ascii="Times New Roman" w:eastAsia="Times New Roman" w:hAnsi="Times New Roman" w:cs="Times New Roman"/>
          <w:b/>
          <w:bCs/>
          <w:highlight w:val="none"/>
        </w:rPr>
        <w:t xml:space="preserve">РЕШЕНИЕ </w:t>
      </w:r>
    </w:p>
    <w:p>
      <w:pPr>
        <w:spacing w:before="0" w:after="0"/>
        <w:jc w:val="center"/>
      </w:pPr>
      <w:r>
        <w:rPr>
          <w:rFonts w:ascii="Times New Roman" w:eastAsia="Times New Roman" w:hAnsi="Times New Roman" w:cs="Times New Roman"/>
          <w:b/>
          <w:bCs/>
          <w:highlight w:val="none"/>
        </w:rPr>
        <w:t>Именем Российской Федерации</w:t>
      </w:r>
    </w:p>
    <w:p>
      <w:pPr>
        <w:spacing w:before="0" w:after="0"/>
        <w:jc w:val="center"/>
      </w:pP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17 ноября 2022</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p>
    <w:p>
      <w:pPr>
        <w:spacing w:before="0" w:after="0"/>
        <w:jc w:val="both"/>
      </w:pPr>
    </w:p>
    <w:p>
      <w:pPr>
        <w:spacing w:before="0" w:after="0"/>
        <w:ind w:firstLine="709"/>
        <w:jc w:val="both"/>
      </w:pP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асманный районный суд </w:t>
      </w:r>
      <w:r>
        <w:rPr>
          <w:rStyle w:val="cat-Addressgrp-1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w:t>
      </w:r>
    </w:p>
    <w:p>
      <w:pPr>
        <w:tabs>
          <w:tab w:val="left" w:pos="709"/>
        </w:tabs>
        <w:spacing w:before="0" w:after="0"/>
        <w:jc w:val="both"/>
        <w:rPr>
          <w:sz w:val="24"/>
          <w:szCs w:val="24"/>
        </w:rPr>
      </w:pPr>
      <w:r>
        <w:rPr>
          <w:sz w:val="24"/>
          <w:szCs w:val="24"/>
          <w:highlight w:val="none"/>
        </w:rPr>
        <w:tab/>
      </w:r>
      <w:r>
        <w:rPr>
          <w:rFonts w:ascii="Times New Roman" w:eastAsia="Times New Roman" w:hAnsi="Times New Roman" w:cs="Times New Roman"/>
          <w:highlight w:val="none"/>
        </w:rPr>
        <w:t xml:space="preserve">председательствующего судьи </w:t>
      </w:r>
      <w:r>
        <w:rPr>
          <w:rFonts w:ascii="Times New Roman" w:eastAsia="Times New Roman" w:hAnsi="Times New Roman" w:cs="Times New Roman"/>
          <w:highlight w:val="none"/>
        </w:rPr>
        <w:t>Липкиной О.А.</w:t>
      </w:r>
      <w:r>
        <w:rPr>
          <w:rFonts w:ascii="Times New Roman" w:eastAsia="Times New Roman" w:hAnsi="Times New Roman" w:cs="Times New Roman"/>
          <w:highlight w:val="none"/>
        </w:rPr>
        <w:t xml:space="preserve"> </w:t>
      </w:r>
    </w:p>
    <w:p>
      <w:pPr>
        <w:spacing w:before="0" w:after="0"/>
        <w:ind w:firstLine="709"/>
        <w:jc w:val="both"/>
      </w:pPr>
      <w:r>
        <w:rPr>
          <w:rFonts w:ascii="Times New Roman" w:eastAsia="Times New Roman" w:hAnsi="Times New Roman" w:cs="Times New Roman"/>
          <w:highlight w:val="none"/>
        </w:rPr>
        <w:t xml:space="preserve">при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помощнике судьи</w:t>
      </w:r>
      <w:r>
        <w:rPr>
          <w:rFonts w:ascii="Times New Roman" w:eastAsia="Times New Roman" w:hAnsi="Times New Roman" w:cs="Times New Roman"/>
          <w:highlight w:val="none"/>
        </w:rPr>
        <w:t xml:space="preserve">  </w:t>
      </w:r>
      <w:r>
        <w:rPr>
          <w:rStyle w:val="cat-FIOgrp-4rplc-3"/>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3891/2022</w:t>
      </w:r>
      <w:r>
        <w:rPr>
          <w:rFonts w:ascii="Times New Roman" w:eastAsia="Times New Roman" w:hAnsi="Times New Roman" w:cs="Times New Roman"/>
          <w:highlight w:val="none"/>
        </w:rPr>
        <w:t xml:space="preserve"> по иску ПАО Сбербанк</w:t>
      </w:r>
      <w:r>
        <w:rPr>
          <w:rFonts w:ascii="Times New Roman" w:eastAsia="Times New Roman" w:hAnsi="Times New Roman" w:cs="Times New Roman"/>
          <w:highlight w:val="none"/>
        </w:rPr>
        <w:t xml:space="preserve"> 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лице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филиала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Медведевой Анастасии Владимировне</w:t>
      </w:r>
      <w:r>
        <w:rPr>
          <w:rFonts w:ascii="Times New Roman" w:eastAsia="Times New Roman" w:hAnsi="Times New Roman" w:cs="Times New Roman"/>
          <w:highlight w:val="none"/>
        </w:rPr>
        <w:t xml:space="preserve"> о взыскании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задолженности, </w:t>
      </w:r>
      <w:r>
        <w:rPr>
          <w:rFonts w:ascii="Times New Roman" w:eastAsia="Times New Roman" w:hAnsi="Times New Roman" w:cs="Times New Roman"/>
          <w:highlight w:val="none"/>
        </w:rPr>
        <w:t>судебных расходов</w:t>
      </w:r>
      <w:r>
        <w:rPr>
          <w:rFonts w:ascii="Times New Roman" w:eastAsia="Times New Roman" w:hAnsi="Times New Roman" w:cs="Times New Roman"/>
          <w:highlight w:val="none"/>
        </w:rPr>
        <w:t xml:space="preserve">, </w:t>
      </w:r>
    </w:p>
    <w:p>
      <w:pPr>
        <w:spacing w:before="0" w:after="0"/>
        <w:ind w:firstLine="709"/>
        <w:jc w:val="center"/>
      </w:pPr>
    </w:p>
    <w:p>
      <w:pPr>
        <w:spacing w:before="0" w:after="0"/>
        <w:ind w:firstLine="709"/>
        <w:jc w:val="center"/>
      </w:pPr>
      <w:r>
        <w:rPr>
          <w:rFonts w:ascii="Times New Roman" w:eastAsia="Times New Roman" w:hAnsi="Times New Roman" w:cs="Times New Roman"/>
          <w:b/>
          <w:bCs/>
          <w:highlight w:val="none"/>
        </w:rPr>
        <w:t>УСТАНОВИЛ:</w:t>
      </w:r>
    </w:p>
    <w:p>
      <w:pPr>
        <w:spacing w:before="0" w:after="160" w:line="252" w:lineRule="auto"/>
        <w:ind w:firstLine="709"/>
        <w:jc w:val="both"/>
      </w:pP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 в лице филиала – Московск</w:t>
      </w:r>
      <w:r>
        <w:rPr>
          <w:rFonts w:ascii="Times New Roman" w:eastAsia="Times New Roman" w:hAnsi="Times New Roman" w:cs="Times New Roman"/>
          <w:highlight w:val="none"/>
        </w:rPr>
        <w:t>ий</w:t>
      </w:r>
      <w:r>
        <w:rPr>
          <w:rFonts w:ascii="Times New Roman" w:eastAsia="Times New Roman" w:hAnsi="Times New Roman" w:cs="Times New Roman"/>
          <w:highlight w:val="none"/>
        </w:rPr>
        <w:t xml:space="preserve"> банк ПАО Сбербанк обратился в суд с иском </w:t>
      </w:r>
      <w:r>
        <w:rPr>
          <w:rFonts w:ascii="Times New Roman" w:eastAsia="Times New Roman" w:hAnsi="Times New Roman" w:cs="Times New Roman"/>
          <w:highlight w:val="none"/>
        </w:rPr>
        <w:t>к Медведевой Анастасии Владимировне</w:t>
      </w:r>
      <w:r>
        <w:rPr>
          <w:rFonts w:ascii="Times New Roman" w:eastAsia="Times New Roman" w:hAnsi="Times New Roman" w:cs="Times New Roman"/>
          <w:highlight w:val="none"/>
        </w:rPr>
        <w:t xml:space="preserve"> о взыскании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пределах стоимости наследственного имущества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сумму задолженности по эмиссионному контракту № 0910-Р-492870401 в размере </w:t>
      </w:r>
      <w:r>
        <w:rPr>
          <w:rStyle w:val="cat-Sumgrp-11rplc-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а также расходов по уплате государственной пошлины в размере </w:t>
      </w:r>
      <w:r>
        <w:rPr>
          <w:rStyle w:val="cat-Sumgrp-12rplc-7"/>
          <w:rFonts w:ascii="Times New Roman" w:eastAsia="Times New Roman" w:hAnsi="Times New Roman" w:cs="Times New Roman"/>
          <w:highlight w:val="none"/>
        </w:rPr>
        <w:t>сумма</w:t>
      </w:r>
    </w:p>
    <w:p>
      <w:pPr>
        <w:spacing w:before="0" w:after="160" w:line="252" w:lineRule="auto"/>
        <w:ind w:firstLine="709"/>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обосновании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исковых требований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истец указал, что </w:t>
      </w:r>
      <w:r>
        <w:rPr>
          <w:rFonts w:ascii="Times New Roman" w:eastAsia="Times New Roman" w:hAnsi="Times New Roman" w:cs="Times New Roman"/>
          <w:highlight w:val="none"/>
        </w:rPr>
        <w:t xml:space="preserve">09.11.2011 между ПАО «Сбербанк» и </w:t>
      </w:r>
      <w:r>
        <w:rPr>
          <w:rStyle w:val="cat-FIOgrp-6rplc-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заключен эмиссионный контракт № 0910-Р-492870401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заемщиком </w:t>
      </w:r>
      <w:r>
        <w:rPr>
          <w:rFonts w:ascii="Times New Roman" w:eastAsia="Times New Roman" w:hAnsi="Times New Roman" w:cs="Times New Roman"/>
          <w:highlight w:val="none"/>
        </w:rPr>
        <w:t>заявления на получение кредитной карты Сбербанка России и ознакомления его с Индивидуальными условиями выпуска и обслуживания кредитной карты Банка, Общими условиями выпуска и обслуживания кредитной карты Банка (далее - Условия), Тарифами Банка, Памяткой Держателя банковских карт и Памяткой по безопасности.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статьей 428 Гражданского кодекса Российской Федерации.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Также </w:t>
      </w:r>
      <w:r>
        <w:rPr>
          <w:rStyle w:val="cat-FIOgrp-6rplc-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 открыт счет для отражения операций, проводимых с использованием международной кредитной карты в соответствии с заключенным договором</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Истец указывает, что в соответствии с данным договором </w:t>
      </w:r>
      <w:r>
        <w:rPr>
          <w:rStyle w:val="cat-FIOgrp-6rplc-1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была выдана банковская кредитная карта ПАО Сбербанк №</w:t>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4276********8213 с разрешенным лимитом кредита </w:t>
      </w:r>
      <w:r>
        <w:rPr>
          <w:rStyle w:val="cat-Sumgrp-13rplc-11"/>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К</w:t>
      </w:r>
      <w:r>
        <w:rPr>
          <w:rFonts w:ascii="Times New Roman" w:eastAsia="Times New Roman" w:hAnsi="Times New Roman" w:cs="Times New Roman"/>
          <w:highlight w:val="none"/>
        </w:rPr>
        <w:t>редит</w:t>
      </w:r>
      <w:r>
        <w:rPr>
          <w:rFonts w:ascii="Times New Roman" w:eastAsia="Times New Roman" w:hAnsi="Times New Roman" w:cs="Times New Roman"/>
          <w:highlight w:val="none"/>
        </w:rPr>
        <w:t xml:space="preserve"> по карте предоставлялся заемщику </w:t>
      </w:r>
      <w:r>
        <w:rPr>
          <w:rFonts w:ascii="Times New Roman" w:eastAsia="Times New Roman" w:hAnsi="Times New Roman" w:cs="Times New Roman"/>
          <w:highlight w:val="none"/>
        </w:rPr>
        <w:t xml:space="preserve">в размере кредитного лимита под 19,0 % годовых на условиях, определенных Тарифами Банка Согласно Условиям, погашение задолженности по карте производится путем пополнения счета </w:t>
      </w:r>
      <w:r>
        <w:rPr>
          <w:rFonts w:ascii="Times New Roman" w:eastAsia="Times New Roman" w:hAnsi="Times New Roman" w:cs="Times New Roman"/>
          <w:highlight w:val="none"/>
        </w:rPr>
        <w:t>карты.</w:t>
      </w:r>
      <w:r>
        <w:rPr>
          <w:rFonts w:ascii="Times New Roman" w:eastAsia="Times New Roman" w:hAnsi="Times New Roman" w:cs="Times New Roman"/>
          <w:highlight w:val="none"/>
        </w:rPr>
        <w:t>За</w:t>
      </w:r>
      <w:r>
        <w:rPr>
          <w:rFonts w:ascii="Times New Roman" w:eastAsia="Times New Roman" w:hAnsi="Times New Roman" w:cs="Times New Roman"/>
          <w:highlight w:val="none"/>
        </w:rPr>
        <w:t xml:space="preserve"> время действия </w:t>
      </w:r>
      <w:r>
        <w:rPr>
          <w:rFonts w:ascii="Times New Roman" w:eastAsia="Times New Roman" w:hAnsi="Times New Roman" w:cs="Times New Roman"/>
          <w:highlight w:val="none"/>
        </w:rPr>
        <w:t xml:space="preserve">эмиссионного контракта № № 0910-Р-492870401 </w:t>
      </w:r>
      <w:r>
        <w:rPr>
          <w:rFonts w:ascii="Times New Roman" w:eastAsia="Times New Roman" w:hAnsi="Times New Roman" w:cs="Times New Roman"/>
          <w:highlight w:val="none"/>
        </w:rPr>
        <w:t>по состоянию на</w:t>
      </w:r>
      <w:r>
        <w:rPr>
          <w:rFonts w:ascii="Times New Roman" w:eastAsia="Times New Roman" w:hAnsi="Times New Roman" w:cs="Times New Roman"/>
          <w:highlight w:val="none"/>
        </w:rPr>
        <w:t xml:space="preserve"> 05.05.2022</w:t>
      </w:r>
      <w:r>
        <w:rPr>
          <w:rFonts w:ascii="Times New Roman" w:eastAsia="Times New Roman" w:hAnsi="Times New Roman" w:cs="Times New Roman"/>
          <w:highlight w:val="none"/>
        </w:rPr>
        <w:t xml:space="preserve"> образовалась задолженность</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основному долгу в размере </w:t>
      </w:r>
      <w:r>
        <w:rPr>
          <w:rFonts w:ascii="Times New Roman" w:eastAsia="Times New Roman" w:hAnsi="Times New Roman" w:cs="Times New Roman"/>
          <w:highlight w:val="none"/>
        </w:rPr>
        <w:t xml:space="preserve">– </w:t>
      </w:r>
      <w:r>
        <w:rPr>
          <w:rStyle w:val="cat-Sumgrp-14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 </w:t>
      </w:r>
      <w:r>
        <w:rPr>
          <w:rFonts w:ascii="Times New Roman" w:eastAsia="Times New Roman" w:hAnsi="Times New Roman" w:cs="Times New Roman"/>
          <w:highlight w:val="none"/>
        </w:rPr>
        <w:t xml:space="preserve">просроченным </w:t>
      </w:r>
      <w:r>
        <w:rPr>
          <w:rFonts w:ascii="Times New Roman" w:eastAsia="Times New Roman" w:hAnsi="Times New Roman" w:cs="Times New Roman"/>
          <w:highlight w:val="none"/>
        </w:rPr>
        <w:t xml:space="preserve">процентам в размере </w:t>
      </w:r>
      <w:r>
        <w:rPr>
          <w:rStyle w:val="cat-Sumgrp-15rplc-1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27.05.2020 заемщик </w:t>
      </w:r>
      <w:r>
        <w:rPr>
          <w:rStyle w:val="cat-FIOgrp-6rplc-1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умерла.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Ответчик Медведева А.В. является наследником </w:t>
      </w:r>
      <w:r>
        <w:rPr>
          <w:rStyle w:val="cat-FIOgrp-6rplc-1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которая приняла наследство </w:t>
      </w:r>
      <w:r>
        <w:rPr>
          <w:rFonts w:ascii="Times New Roman" w:eastAsia="Times New Roman" w:hAnsi="Times New Roman" w:cs="Times New Roman"/>
          <w:highlight w:val="none"/>
        </w:rPr>
        <w:t xml:space="preserve">после смерти </w:t>
      </w:r>
      <w:r>
        <w:rPr>
          <w:rStyle w:val="cat-FIOgrp-7rplc-17"/>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Учитывая характер неисполненного </w:t>
      </w:r>
      <w:r>
        <w:rPr>
          <w:rStyle w:val="cat-FIOgrp-6rplc-1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денежного обязательства как не связанного с личностью должника, принявш</w:t>
      </w:r>
      <w:r>
        <w:rPr>
          <w:rFonts w:ascii="Times New Roman" w:eastAsia="Times New Roman" w:hAnsi="Times New Roman" w:cs="Times New Roman"/>
          <w:highlight w:val="none"/>
        </w:rPr>
        <w:t>ие</w:t>
      </w:r>
      <w:r>
        <w:rPr>
          <w:rFonts w:ascii="Times New Roman" w:eastAsia="Times New Roman" w:hAnsi="Times New Roman" w:cs="Times New Roman"/>
          <w:highlight w:val="none"/>
        </w:rPr>
        <w:t xml:space="preserve"> наследство наследник</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должника </w:t>
      </w:r>
      <w:r>
        <w:rPr>
          <w:rStyle w:val="cat-FIOgrp-6rplc-1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становятся солидарными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должниками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ст. 323 ГК РФ) в пределах стоимости перешедшего к ним наследственного имущества, в связи с чем с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ответчика </w:t>
      </w:r>
      <w:r>
        <w:rPr>
          <w:rFonts w:ascii="Times New Roman" w:eastAsia="Times New Roman" w:hAnsi="Times New Roman" w:cs="Times New Roman"/>
          <w:highlight w:val="none"/>
        </w:rPr>
        <w:t xml:space="preserve">подлежит взысканию в порядке ответственности наследников по долгам наследодателя сумма долга по договору банковской кредитной карты в размере </w:t>
      </w:r>
      <w:r>
        <w:rPr>
          <w:rStyle w:val="cat-Sumgrp-16rplc-20"/>
          <w:rFonts w:ascii="Times New Roman" w:eastAsia="Times New Roman" w:hAnsi="Times New Roman" w:cs="Times New Roman"/>
          <w:highlight w:val="none"/>
        </w:rPr>
        <w:t>сумма</w:t>
      </w:r>
      <w:r>
        <w:rPr>
          <w:rFonts w:ascii="Times New Roman" w:eastAsia="Times New Roman" w:hAnsi="Times New Roman" w:cs="Times New Roman"/>
          <w:highlight w:val="none"/>
        </w:rPr>
        <w:t>, также истец просит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взыскать расходы по оплате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государственной пошлины в размере</w:t>
      </w:r>
      <w:r>
        <w:rPr>
          <w:rFonts w:ascii="Times New Roman" w:eastAsia="Times New Roman" w:hAnsi="Times New Roman" w:cs="Times New Roman"/>
          <w:highlight w:val="none"/>
        </w:rPr>
        <w:t xml:space="preserve">  </w:t>
      </w:r>
      <w:r>
        <w:rPr>
          <w:rStyle w:val="cat-Sumgrp-17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Представитель истца 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 в судебное заседание не явился, извещался судом надлежащим образом, в материалы дела представлено ходатайство о рассмотрении дела в отсутствии представителя истца.</w:t>
      </w:r>
    </w:p>
    <w:p>
      <w:pPr>
        <w:spacing w:before="0" w:after="0"/>
        <w:ind w:firstLine="709"/>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Медведева А.В.</w:t>
      </w:r>
      <w:r>
        <w:rPr>
          <w:rFonts w:ascii="Times New Roman" w:eastAsia="Times New Roman" w:hAnsi="Times New Roman" w:cs="Times New Roman"/>
          <w:highlight w:val="none"/>
        </w:rPr>
        <w:t xml:space="preserve"> в судебное заседание не явилась, о дате, месте и времени рассмотрения дела извещена надлежащим образом.</w:t>
      </w:r>
      <w:r>
        <w:rPr>
          <w:rFonts w:ascii="Times New Roman" w:eastAsia="Times New Roman" w:hAnsi="Times New Roman" w:cs="Times New Roman"/>
          <w:highlight w:val="none"/>
        </w:rPr>
        <w:t xml:space="preserve">   </w:t>
      </w:r>
    </w:p>
    <w:p>
      <w:pPr>
        <w:spacing w:before="0" w:after="0"/>
        <w:ind w:firstLine="709"/>
        <w:jc w:val="both"/>
      </w:pPr>
      <w:r>
        <w:rPr>
          <w:rFonts w:ascii="Times New Roman" w:eastAsia="Times New Roman" w:hAnsi="Times New Roman" w:cs="Times New Roman"/>
          <w:highlight w:val="none"/>
        </w:rPr>
        <w:t xml:space="preserve">В соответствии с ч. 4 ст. 113 ГПК РФ судебное извещение, адресованное лицу, участвующему в деле, направляется по адресу, указанному лицом, участвующим в деле, или его представителем. </w:t>
      </w:r>
    </w:p>
    <w:p>
      <w:pPr>
        <w:spacing w:before="0" w:after="0"/>
        <w:ind w:firstLine="709"/>
        <w:jc w:val="both"/>
      </w:pPr>
      <w:r>
        <w:rPr>
          <w:rFonts w:ascii="Times New Roman" w:eastAsia="Times New Roman" w:hAnsi="Times New Roman" w:cs="Times New Roman"/>
          <w:highlight w:val="none"/>
        </w:rPr>
        <w:t xml:space="preserve">В силу ч.3 ст. 167 ГПК РФ, суд вправе рассмотреть дело в случае неявки кого-либо из лиц, участвующих в деле, извещенных о времени и месте судебного заседания, если ими не предоставлены сведения о причинах неявки или признает причины их неявки неуважительными. </w:t>
      </w:r>
    </w:p>
    <w:p>
      <w:pPr>
        <w:spacing w:before="0" w:after="0"/>
        <w:ind w:firstLine="709"/>
        <w:jc w:val="both"/>
      </w:pPr>
      <w:r>
        <w:rPr>
          <w:rFonts w:ascii="Times New Roman" w:eastAsia="Times New Roman" w:hAnsi="Times New Roman" w:cs="Times New Roman"/>
          <w:highlight w:val="none"/>
        </w:rPr>
        <w:t>Суд, исследовав письменные материалы дела, суд приходит к выводу о том, что заявленные требования подлежат удовлетворению по следующим основаниям.</w:t>
      </w:r>
    </w:p>
    <w:p>
      <w:pPr>
        <w:spacing w:before="0" w:after="0"/>
        <w:ind w:firstLine="709"/>
        <w:jc w:val="both"/>
      </w:pPr>
      <w:r>
        <w:rPr>
          <w:rFonts w:ascii="Times New Roman" w:eastAsia="Times New Roman" w:hAnsi="Times New Roman" w:cs="Times New Roman"/>
          <w:highlight w:val="none"/>
        </w:rPr>
        <w:t>В соответствии со ст. 307 ГК РФ в силу обязательства одно лицо (должник) обязано совершить в пользу другого лица (кредитора) определенное действие, а кредитор имеет право требовать от должника исполнения его обязанности.</w:t>
      </w:r>
    </w:p>
    <w:p>
      <w:pPr>
        <w:spacing w:before="0" w:after="0"/>
        <w:ind w:firstLine="709"/>
        <w:jc w:val="both"/>
      </w:pPr>
      <w:r>
        <w:rPr>
          <w:rFonts w:ascii="Times New Roman" w:eastAsia="Times New Roman" w:hAnsi="Times New Roman" w:cs="Times New Roman"/>
          <w:highlight w:val="none"/>
        </w:rPr>
        <w:t>В силу ст.ст. 309, 310 ГК РФ, обязательства должны исполняться надлежащим образом в соответствии с условиями обязательства и требованиями закона.</w:t>
      </w:r>
    </w:p>
    <w:p>
      <w:pPr>
        <w:spacing w:before="0" w:after="0"/>
        <w:ind w:firstLine="709"/>
        <w:jc w:val="both"/>
      </w:pPr>
      <w:r>
        <w:rPr>
          <w:rFonts w:ascii="Times New Roman" w:eastAsia="Times New Roman" w:hAnsi="Times New Roman" w:cs="Times New Roman"/>
          <w:highlight w:val="none"/>
        </w:rPr>
        <w:t>Односторонний отказ от исполнения обязательства не допускается за исключением случаев, предусмотренных законом.</w:t>
      </w:r>
    </w:p>
    <w:p>
      <w:pPr>
        <w:spacing w:before="0" w:after="0"/>
        <w:ind w:firstLine="709"/>
        <w:jc w:val="both"/>
      </w:pPr>
      <w:r>
        <w:rPr>
          <w:rFonts w:ascii="Times New Roman" w:eastAsia="Times New Roman" w:hAnsi="Times New Roman" w:cs="Times New Roman"/>
          <w:highlight w:val="none"/>
        </w:rPr>
        <w:t>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сумме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709"/>
        <w:jc w:val="both"/>
      </w:pPr>
      <w:r>
        <w:rPr>
          <w:rFonts w:ascii="Times New Roman" w:eastAsia="Times New Roman" w:hAnsi="Times New Roman" w:cs="Times New Roman"/>
          <w:highlight w:val="none"/>
        </w:rPr>
        <w:t>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spacing w:before="0" w:after="0"/>
        <w:ind w:firstLine="709"/>
        <w:jc w:val="both"/>
      </w:pPr>
      <w:r>
        <w:rPr>
          <w:rFonts w:ascii="Times New Roman" w:eastAsia="Times New Roman" w:hAnsi="Times New Roman" w:cs="Times New Roman"/>
          <w:highlight w:val="none"/>
        </w:rPr>
        <w:t>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pPr>
        <w:spacing w:before="0" w:after="0"/>
        <w:ind w:firstLine="709"/>
        <w:jc w:val="both"/>
      </w:pPr>
      <w:r>
        <w:rPr>
          <w:rFonts w:ascii="Times New Roman" w:eastAsia="Times New Roman" w:hAnsi="Times New Roman" w:cs="Times New Roman"/>
          <w:highlight w:val="none"/>
        </w:rPr>
        <w:t>Договор займа считается заключенным с момента передачи денег или других вещей.</w:t>
      </w:r>
    </w:p>
    <w:p>
      <w:pPr>
        <w:spacing w:before="0" w:after="0"/>
        <w:ind w:firstLine="709"/>
        <w:jc w:val="both"/>
      </w:pPr>
      <w:r>
        <w:rPr>
          <w:rFonts w:ascii="Times New Roman" w:eastAsia="Times New Roman" w:hAnsi="Times New Roman" w:cs="Times New Roman"/>
          <w:highlight w:val="none"/>
        </w:rPr>
        <w:t>В силу ч. 1 ст. 810, ч. 2 ст. 811 ГК РФ заемщик обязан возвратить займодавцу полученную сумму займа в срок и в порядке, которые предусмотрены договором займа.</w:t>
      </w:r>
    </w:p>
    <w:p>
      <w:pPr>
        <w:spacing w:before="0" w:after="0"/>
        <w:ind w:firstLine="709"/>
        <w:jc w:val="both"/>
      </w:pPr>
      <w:r>
        <w:rPr>
          <w:rFonts w:ascii="Times New Roman" w:eastAsia="Times New Roman" w:hAnsi="Times New Roman" w:cs="Times New Roman"/>
          <w:highlight w:val="none"/>
        </w:rPr>
        <w:t>Если договором займа предусмотрено возращение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709"/>
        <w:jc w:val="both"/>
      </w:pPr>
      <w:r>
        <w:rPr>
          <w:rFonts w:ascii="Times New Roman" w:eastAsia="Times New Roman" w:hAnsi="Times New Roman" w:cs="Times New Roman"/>
          <w:highlight w:val="none"/>
        </w:rPr>
        <w:t>В соответствии со ст. 820 ГК РФ кредитный договор должен быть заключен в письменной форме.</w:t>
      </w:r>
    </w:p>
    <w:p>
      <w:pPr>
        <w:spacing w:before="0" w:after="0"/>
        <w:ind w:firstLine="709"/>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чч</w:t>
      </w:r>
      <w:r>
        <w:rPr>
          <w:rFonts w:ascii="Times New Roman" w:eastAsia="Times New Roman" w:hAnsi="Times New Roman" w:cs="Times New Roman"/>
          <w:highlight w:val="none"/>
        </w:rPr>
        <w:t>. 1, 2 ст. 432, ч.ч. 1, 3 ст. 433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spacing w:before="0" w:after="0"/>
        <w:ind w:firstLine="709"/>
        <w:jc w:val="both"/>
      </w:pPr>
      <w:r>
        <w:rPr>
          <w:rFonts w:ascii="Times New Roman" w:eastAsia="Times New Roman" w:hAnsi="Times New Roman" w:cs="Times New Roman"/>
          <w:highlight w:val="none"/>
        </w:rPr>
        <w:t>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spacing w:before="0" w:after="0"/>
        <w:ind w:firstLine="709"/>
        <w:jc w:val="both"/>
      </w:pPr>
      <w:r>
        <w:rPr>
          <w:rFonts w:ascii="Times New Roman" w:eastAsia="Times New Roman" w:hAnsi="Times New Roman" w:cs="Times New Roman"/>
          <w:highlight w:val="none"/>
        </w:rPr>
        <w:t>Договор признается заключенным в момент получения лицом, направившим оферту, ее акцепта.</w:t>
      </w:r>
    </w:p>
    <w:p>
      <w:pPr>
        <w:spacing w:before="0" w:after="0"/>
        <w:ind w:firstLine="709"/>
        <w:jc w:val="both"/>
      </w:pPr>
      <w:r>
        <w:rPr>
          <w:rFonts w:ascii="Times New Roman" w:eastAsia="Times New Roman" w:hAnsi="Times New Roman" w:cs="Times New Roman"/>
          <w:highlight w:val="none"/>
        </w:rPr>
        <w:t>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w:t>
      </w:r>
    </w:p>
    <w:p>
      <w:pPr>
        <w:spacing w:before="0" w:after="0"/>
        <w:ind w:firstLine="567"/>
        <w:jc w:val="both"/>
      </w:pPr>
      <w:r>
        <w:rPr>
          <w:rFonts w:ascii="Times New Roman" w:eastAsia="Times New Roman" w:hAnsi="Times New Roman" w:cs="Times New Roman"/>
          <w:highlight w:val="none"/>
        </w:rPr>
        <w:t>Согласно ч. 1 ст. 435 ГК РФ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p>
    <w:p>
      <w:pPr>
        <w:spacing w:before="0" w:after="0"/>
        <w:ind w:firstLine="567"/>
        <w:jc w:val="both"/>
      </w:pPr>
      <w:r>
        <w:rPr>
          <w:rFonts w:ascii="Times New Roman" w:eastAsia="Times New Roman" w:hAnsi="Times New Roman" w:cs="Times New Roman"/>
          <w:highlight w:val="none"/>
        </w:rPr>
        <w:t>Оферта должна содержать существенные условия договора.</w:t>
      </w:r>
    </w:p>
    <w:p>
      <w:pPr>
        <w:spacing w:before="0" w:after="0"/>
        <w:ind w:firstLine="567"/>
        <w:jc w:val="both"/>
      </w:pPr>
      <w:r>
        <w:rPr>
          <w:rFonts w:ascii="Times New Roman" w:eastAsia="Times New Roman" w:hAnsi="Times New Roman" w:cs="Times New Roman"/>
          <w:highlight w:val="none"/>
        </w:rPr>
        <w:t>В соответствии с ч. 2 ст. 435 ГК РФ оферта связывает направившее ее лицо с момента ее получения адресатом.</w:t>
      </w:r>
    </w:p>
    <w:p>
      <w:pPr>
        <w:spacing w:before="0" w:after="0"/>
        <w:ind w:firstLine="567"/>
        <w:jc w:val="both"/>
      </w:pPr>
      <w:r>
        <w:rPr>
          <w:rFonts w:ascii="Times New Roman" w:eastAsia="Times New Roman" w:hAnsi="Times New Roman" w:cs="Times New Roman"/>
          <w:highlight w:val="none"/>
        </w:rPr>
        <w:t>Если извещение об отзыве оферты поступило ранее или одновременно с самой офертой, оферта считается не полученной.</w:t>
      </w:r>
    </w:p>
    <w:p>
      <w:pPr>
        <w:spacing w:before="0" w:after="0"/>
        <w:ind w:firstLine="567"/>
        <w:jc w:val="both"/>
      </w:pPr>
      <w:r>
        <w:rPr>
          <w:rFonts w:ascii="Times New Roman" w:eastAsia="Times New Roman" w:hAnsi="Times New Roman" w:cs="Times New Roman"/>
          <w:highlight w:val="none"/>
        </w:rPr>
        <w:t>В соответствии с п.1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приняты другой стороной не иначе как путем присоединения к предложенному договору в целом.</w:t>
      </w:r>
    </w:p>
    <w:p>
      <w:pPr>
        <w:spacing w:before="0" w:after="0"/>
        <w:ind w:firstLine="567"/>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Как установлено в судебном заседании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 следует из материалов дела, </w:t>
      </w:r>
      <w:r>
        <w:rPr>
          <w:rFonts w:ascii="Times New Roman" w:eastAsia="Times New Roman" w:hAnsi="Times New Roman" w:cs="Times New Roman"/>
          <w:highlight w:val="none"/>
        </w:rPr>
        <w:t xml:space="preserve">09.11.2011 между ПАО Сбербанк и </w:t>
      </w:r>
      <w:r>
        <w:rPr>
          <w:rStyle w:val="cat-FIOgrp-6rplc-2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w:t>
      </w:r>
    </w:p>
    <w:p>
      <w:pPr>
        <w:spacing w:before="0" w:after="0"/>
        <w:ind w:firstLine="567"/>
        <w:jc w:val="both"/>
      </w:pPr>
      <w:r>
        <w:rPr>
          <w:rFonts w:ascii="Times New Roman" w:eastAsia="Times New Roman" w:hAnsi="Times New Roman" w:cs="Times New Roman"/>
          <w:highlight w:val="none"/>
        </w:rPr>
        <w:t xml:space="preserve">Также </w:t>
      </w:r>
      <w:r>
        <w:rPr>
          <w:rStyle w:val="cat-FIOgrp-6rplc-2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 открыт счет для отражения операций, проводимых с использованием международной кредитной карты в соответствии с заключенным договором.</w:t>
      </w:r>
    </w:p>
    <w:p>
      <w:pPr>
        <w:spacing w:before="0" w:after="0"/>
        <w:ind w:firstLine="567"/>
        <w:jc w:val="both"/>
      </w:pPr>
      <w:r>
        <w:rPr>
          <w:rFonts w:ascii="Times New Roman" w:eastAsia="Times New Roman" w:hAnsi="Times New Roman" w:cs="Times New Roman"/>
          <w:highlight w:val="none"/>
        </w:rPr>
        <w:t>Договор заключен в офертно - акцептной форме в соответствии с положениями ст.ст. 432, 435 и 438 Гражданского кодекса РФ путем присоединения к Условиям выпуска и обслуживания кредитной карты Сбербанка России.</w:t>
      </w:r>
    </w:p>
    <w:p>
      <w:pPr>
        <w:spacing w:before="0" w:after="0"/>
        <w:ind w:firstLine="567"/>
        <w:jc w:val="both"/>
      </w:pPr>
      <w:r>
        <w:rPr>
          <w:rFonts w:ascii="Times New Roman" w:eastAsia="Times New Roman" w:hAnsi="Times New Roman" w:cs="Times New Roman"/>
          <w:highlight w:val="none"/>
        </w:rPr>
        <w:t>С учетом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условий и содержания названный договор является кредитным договором.</w:t>
      </w:r>
    </w:p>
    <w:p>
      <w:pPr>
        <w:spacing w:before="0" w:after="0"/>
        <w:ind w:firstLine="567"/>
        <w:jc w:val="both"/>
      </w:pPr>
      <w:r>
        <w:rPr>
          <w:rFonts w:ascii="Times New Roman" w:eastAsia="Times New Roman" w:hAnsi="Times New Roman" w:cs="Times New Roman"/>
          <w:highlight w:val="none"/>
        </w:rPr>
        <w:t xml:space="preserve">В соответствии с данным договором </w:t>
      </w:r>
      <w:r>
        <w:rPr>
          <w:rStyle w:val="cat-FIOgrp-6rplc-2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была выдана банковская </w:t>
      </w:r>
      <w:r>
        <w:rPr>
          <w:rFonts w:ascii="Times New Roman" w:eastAsia="Times New Roman" w:hAnsi="Times New Roman" w:cs="Times New Roman"/>
          <w:highlight w:val="none"/>
        </w:rPr>
        <w:t xml:space="preserve">кредитная карта ПАО Сбербанк № 4276********8213 с разрешенным лимитом кредита </w:t>
      </w:r>
      <w:r>
        <w:rPr>
          <w:rStyle w:val="cat-Sumgrp-13rplc-26"/>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Выпиской по счету кредитной карты </w:t>
      </w:r>
      <w:r>
        <w:rPr>
          <w:rFonts w:ascii="Times New Roman" w:eastAsia="Times New Roman" w:hAnsi="Times New Roman" w:cs="Times New Roman"/>
          <w:highlight w:val="none"/>
        </w:rPr>
        <w:t xml:space="preserve">№ 4276********8213 </w:t>
      </w:r>
      <w:r>
        <w:rPr>
          <w:rFonts w:ascii="Times New Roman" w:eastAsia="Times New Roman" w:hAnsi="Times New Roman" w:cs="Times New Roman"/>
          <w:highlight w:val="none"/>
        </w:rPr>
        <w:t xml:space="preserve">подтверждается, что заемщик </w:t>
      </w:r>
      <w:r>
        <w:rPr>
          <w:rStyle w:val="cat-FIOgrp-6rplc-2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воспользовал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с</w:t>
      </w:r>
      <w:r>
        <w:rPr>
          <w:rFonts w:ascii="Times New Roman" w:eastAsia="Times New Roman" w:hAnsi="Times New Roman" w:cs="Times New Roman"/>
          <w:highlight w:val="none"/>
        </w:rPr>
        <w:t>ь</w:t>
      </w:r>
      <w:r>
        <w:rPr>
          <w:rFonts w:ascii="Times New Roman" w:eastAsia="Times New Roman" w:hAnsi="Times New Roman" w:cs="Times New Roman"/>
          <w:highlight w:val="none"/>
        </w:rPr>
        <w:t xml:space="preserve"> денежными средствами из предоставленного кредита </w:t>
      </w:r>
    </w:p>
    <w:p>
      <w:pPr>
        <w:spacing w:before="0" w:after="0"/>
        <w:ind w:firstLine="567"/>
        <w:jc w:val="both"/>
      </w:pPr>
      <w:r>
        <w:rPr>
          <w:rFonts w:ascii="Times New Roman" w:eastAsia="Times New Roman" w:hAnsi="Times New Roman" w:cs="Times New Roman"/>
          <w:highlight w:val="none"/>
        </w:rPr>
        <w:t>Кредит по карте предоставляется ответчику в размере кредитного лимита под 19,0 % годовых на условиях, определенных Тарифами Банка Согласно Условиям, погашение задолженности по карте производится путем пополнения счета карты.</w:t>
      </w:r>
    </w:p>
    <w:p>
      <w:pPr>
        <w:spacing w:before="0" w:after="0"/>
        <w:ind w:firstLine="567"/>
        <w:jc w:val="both"/>
      </w:pPr>
      <w:r>
        <w:rPr>
          <w:rFonts w:ascii="Times New Roman" w:eastAsia="Times New Roman" w:hAnsi="Times New Roman" w:cs="Times New Roman"/>
          <w:highlight w:val="none"/>
        </w:rPr>
        <w:t>27.05.2020</w:t>
      </w:r>
      <w:r>
        <w:rPr>
          <w:rFonts w:ascii="Times New Roman" w:eastAsia="Times New Roman" w:hAnsi="Times New Roman" w:cs="Times New Roman"/>
          <w:highlight w:val="none"/>
        </w:rPr>
        <w:t xml:space="preserve"> заемщик </w:t>
      </w:r>
      <w:r>
        <w:rPr>
          <w:rStyle w:val="cat-FIOgrp-6rplc-2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умерла.</w:t>
      </w:r>
    </w:p>
    <w:p>
      <w:pPr>
        <w:spacing w:before="0" w:after="0"/>
        <w:ind w:firstLine="567"/>
        <w:jc w:val="both"/>
      </w:pPr>
      <w:r>
        <w:rPr>
          <w:rFonts w:ascii="Times New Roman" w:eastAsia="Times New Roman" w:hAnsi="Times New Roman" w:cs="Times New Roman"/>
          <w:highlight w:val="none"/>
        </w:rPr>
        <w:t xml:space="preserve">После </w:t>
      </w:r>
      <w:r>
        <w:rPr>
          <w:rFonts w:ascii="Times New Roman" w:eastAsia="Times New Roman" w:hAnsi="Times New Roman" w:cs="Times New Roman"/>
          <w:highlight w:val="none"/>
        </w:rPr>
        <w:t>ее</w:t>
      </w:r>
      <w:r>
        <w:rPr>
          <w:rFonts w:ascii="Times New Roman" w:eastAsia="Times New Roman" w:hAnsi="Times New Roman" w:cs="Times New Roman"/>
          <w:highlight w:val="none"/>
        </w:rPr>
        <w:t xml:space="preserve"> смерти открылось наследство, состоящее из </w:t>
      </w:r>
      <w:r>
        <w:rPr>
          <w:rFonts w:ascii="Times New Roman" w:eastAsia="Times New Roman" w:hAnsi="Times New Roman" w:cs="Times New Roman"/>
          <w:highlight w:val="none"/>
        </w:rPr>
        <w:t>3/4</w:t>
      </w:r>
      <w:r>
        <w:rPr>
          <w:rFonts w:ascii="Times New Roman" w:eastAsia="Times New Roman" w:hAnsi="Times New Roman" w:cs="Times New Roman"/>
          <w:highlight w:val="none"/>
        </w:rPr>
        <w:t xml:space="preserve"> доли в праве собственности на квартиру, расположенную по адресу: </w:t>
      </w:r>
      <w:r>
        <w:rPr>
          <w:rStyle w:val="cat-Addressgrp-2rplc-29"/>
          <w:rFonts w:ascii="Times New Roman" w:eastAsia="Times New Roman" w:hAnsi="Times New Roman" w:cs="Times New Roman"/>
          <w:highlight w:val="none"/>
        </w:rPr>
        <w:t>адрес</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Согласно свидетельству о праве на наследство по закону, данная квартира перешла к Медведевой Анастасии Владимировне.</w:t>
      </w:r>
    </w:p>
    <w:p>
      <w:pPr>
        <w:spacing w:before="0" w:after="0"/>
        <w:ind w:firstLine="567"/>
        <w:jc w:val="both"/>
      </w:pPr>
      <w:r>
        <w:rPr>
          <w:rFonts w:ascii="Times New Roman" w:eastAsia="Times New Roman" w:hAnsi="Times New Roman" w:cs="Times New Roman"/>
          <w:highlight w:val="none"/>
        </w:rPr>
        <w:t xml:space="preserve">По состоянию на </w:t>
      </w:r>
      <w:r>
        <w:rPr>
          <w:rFonts w:ascii="Times New Roman" w:eastAsia="Times New Roman" w:hAnsi="Times New Roman" w:cs="Times New Roman"/>
          <w:highlight w:val="none"/>
        </w:rPr>
        <w:t xml:space="preserve">05.05.2022 </w:t>
      </w:r>
      <w:r>
        <w:rPr>
          <w:rFonts w:ascii="Times New Roman" w:eastAsia="Times New Roman" w:hAnsi="Times New Roman" w:cs="Times New Roman"/>
          <w:highlight w:val="none"/>
        </w:rPr>
        <w:t xml:space="preserve">задолженность наследодателя </w:t>
      </w:r>
      <w:r>
        <w:rPr>
          <w:rStyle w:val="cat-FIOgrp-6rplc-3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по </w:t>
      </w:r>
      <w:r>
        <w:rPr>
          <w:rFonts w:ascii="Times New Roman" w:eastAsia="Times New Roman" w:hAnsi="Times New Roman" w:cs="Times New Roman"/>
          <w:highlight w:val="none"/>
        </w:rPr>
        <w:t>эмиссионному</w:t>
      </w:r>
      <w:r>
        <w:rPr>
          <w:rFonts w:ascii="Times New Roman" w:eastAsia="Times New Roman" w:hAnsi="Times New Roman" w:cs="Times New Roman"/>
          <w:highlight w:val="none"/>
        </w:rPr>
        <w:t xml:space="preserve"> контракту № 0910-Р-492870401 составила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сумму задолженности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основному </w:t>
      </w:r>
      <w:r>
        <w:rPr>
          <w:rFonts w:ascii="Times New Roman" w:eastAsia="Times New Roman" w:hAnsi="Times New Roman" w:cs="Times New Roman"/>
          <w:highlight w:val="none"/>
        </w:rPr>
        <w:t xml:space="preserve">долгу в размере </w:t>
      </w:r>
      <w:r>
        <w:rPr>
          <w:rFonts w:ascii="Times New Roman" w:eastAsia="Times New Roman" w:hAnsi="Times New Roman" w:cs="Times New Roman"/>
          <w:highlight w:val="none"/>
        </w:rPr>
        <w:t xml:space="preserve"> </w:t>
      </w:r>
      <w:r>
        <w:rPr>
          <w:rStyle w:val="cat-Sumgrp-14rplc-3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 просроченным процентам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размере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Style w:val="cat-Sumgrp-15rplc-33"/>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В силу ст. 1113 ГК РФ, наследство открывается со смертью гражданина.</w:t>
      </w:r>
    </w:p>
    <w:p>
      <w:pPr>
        <w:spacing w:before="0" w:after="0"/>
        <w:ind w:firstLine="567"/>
        <w:jc w:val="both"/>
      </w:pPr>
      <w:r>
        <w:rPr>
          <w:rFonts w:ascii="Times New Roman" w:eastAsia="Times New Roman" w:hAnsi="Times New Roman" w:cs="Times New Roman"/>
          <w:highlight w:val="none"/>
        </w:rPr>
        <w:t>В силу п. 2 ст. 218 ГК РФ в случае смерти гражданина право собственности на принадлежавшее ему имущество переходит по наследству к другим лицам в соответствии с завещанием или законом.</w:t>
      </w:r>
    </w:p>
    <w:p>
      <w:pPr>
        <w:spacing w:before="0" w:after="0"/>
        <w:ind w:firstLine="567"/>
        <w:jc w:val="both"/>
      </w:pPr>
      <w:r>
        <w:rPr>
          <w:rFonts w:ascii="Times New Roman" w:eastAsia="Times New Roman" w:hAnsi="Times New Roman" w:cs="Times New Roman"/>
          <w:highlight w:val="none"/>
        </w:rPr>
        <w:t>Согласно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pPr>
        <w:spacing w:before="0" w:after="0"/>
        <w:ind w:firstLine="567"/>
        <w:jc w:val="both"/>
      </w:pPr>
      <w:r>
        <w:rPr>
          <w:rFonts w:ascii="Times New Roman" w:eastAsia="Times New Roman" w:hAnsi="Times New Roman" w:cs="Times New Roman"/>
          <w:highlight w:val="none"/>
        </w:rPr>
        <w:t>Пунктом 1 ст. 1152 ГК РФ установлено, что для приобретения наследства наследник должен его принять.</w:t>
      </w:r>
    </w:p>
    <w:p>
      <w:pPr>
        <w:spacing w:before="0" w:after="0"/>
        <w:ind w:firstLine="567"/>
        <w:jc w:val="both"/>
      </w:pPr>
      <w:r>
        <w:rPr>
          <w:rFonts w:ascii="Times New Roman" w:eastAsia="Times New Roman" w:hAnsi="Times New Roman" w:cs="Times New Roman"/>
          <w:highlight w:val="none"/>
        </w:rPr>
        <w:t>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 (п. 1 ст. 1153 ГК РФ).</w:t>
      </w:r>
    </w:p>
    <w:p>
      <w:pPr>
        <w:spacing w:before="0" w:after="0"/>
        <w:ind w:firstLine="567"/>
        <w:jc w:val="both"/>
      </w:pPr>
      <w:r>
        <w:rPr>
          <w:rFonts w:ascii="Times New Roman" w:eastAsia="Times New Roman" w:hAnsi="Times New Roman" w:cs="Times New Roman"/>
          <w:highlight w:val="none"/>
        </w:rPr>
        <w:t>В пунктах 7, 34 постановления Пленума Верховного Суда РФ от 29 мая 2012 г. №9 «О судебной практике по делам о наследовании» разъяснено, что получение свидетельства о праве на наследство является правом, а не обязанностью наследника, и что наследник, принявший наследство, независимо от времени и способа его принятия считается собственником наследственного имущества,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 (если такая регистрация предусмотрена законом).</w:t>
      </w:r>
    </w:p>
    <w:p>
      <w:pPr>
        <w:spacing w:before="0" w:after="0"/>
        <w:ind w:firstLine="567"/>
        <w:jc w:val="both"/>
      </w:pPr>
      <w:r>
        <w:rPr>
          <w:rFonts w:ascii="Times New Roman" w:eastAsia="Times New Roman" w:hAnsi="Times New Roman" w:cs="Times New Roman"/>
          <w:highlight w:val="none"/>
        </w:rPr>
        <w:t xml:space="preserve">Таким образом, обратившись к нотариусу с заявлениями о принятии наследства после </w:t>
      </w:r>
      <w:r>
        <w:rPr>
          <w:rFonts w:ascii="Times New Roman" w:eastAsia="Times New Roman" w:hAnsi="Times New Roman" w:cs="Times New Roman"/>
          <w:highlight w:val="none"/>
        </w:rPr>
        <w:t xml:space="preserve">смерти </w:t>
      </w:r>
      <w:r>
        <w:rPr>
          <w:rStyle w:val="cat-FIOgrp-6rplc-34"/>
          <w:rFonts w:ascii="Times New Roman" w:eastAsia="Times New Roman" w:hAnsi="Times New Roman" w:cs="Times New Roman"/>
          <w:highlight w:val="none"/>
        </w:rPr>
        <w:t>фио</w:t>
      </w:r>
      <w:r>
        <w:rPr>
          <w:rFonts w:ascii="Times New Roman" w:eastAsia="Times New Roman" w:hAnsi="Times New Roman" w:cs="Times New Roman"/>
          <w:highlight w:val="none"/>
        </w:rPr>
        <w:t>, Медведева А.В.</w:t>
      </w:r>
      <w:r>
        <w:rPr>
          <w:rFonts w:ascii="Times New Roman" w:eastAsia="Times New Roman" w:hAnsi="Times New Roman" w:cs="Times New Roman"/>
          <w:highlight w:val="none"/>
        </w:rPr>
        <w:t xml:space="preserve"> в установленный п. 1 ст. 1154 ГК РФ шестимесячный срок, ответчик приняла наследство и считается собственником наследственного имущества, независимо от выдачи им свидетельства о праве на наследство и регистрации права собственности на жилое помещение в Едином государственном реестре прав на недвижимое имущество.</w:t>
      </w:r>
    </w:p>
    <w:p>
      <w:pPr>
        <w:spacing w:before="0" w:after="0"/>
        <w:ind w:firstLine="567"/>
        <w:jc w:val="both"/>
      </w:pPr>
      <w:r>
        <w:rPr>
          <w:rFonts w:ascii="Times New Roman" w:eastAsia="Times New Roman" w:hAnsi="Times New Roman" w:cs="Times New Roman"/>
          <w:highlight w:val="none"/>
        </w:rPr>
        <w:t>Согласно ч. 1 ст. 1175 ГК РФ наследники, принявшие наследство, отвечают по долгам наследодателя солидарно (статья 323). Каждый из наследников отвечает по долгам наследодателя в пределах стоимости перешедшего к нему наследственного имущества.</w:t>
      </w:r>
    </w:p>
    <w:p>
      <w:pPr>
        <w:spacing w:before="0" w:after="0"/>
        <w:ind w:firstLine="567"/>
        <w:jc w:val="both"/>
      </w:pPr>
      <w:r>
        <w:rPr>
          <w:rFonts w:ascii="Times New Roman" w:eastAsia="Times New Roman" w:hAnsi="Times New Roman" w:cs="Times New Roman"/>
          <w:highlight w:val="none"/>
        </w:rPr>
        <w:t>В соответствии с п. 58 Постановления Пленума Верховного Суда РФ от 29 мая 2012 г. №9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независимо от наступления срока их исполнения, а равно от времени их выявления и осведомленности о</w:t>
      </w:r>
      <w:r>
        <w:rPr>
          <w:rFonts w:ascii="Times New Roman" w:eastAsia="Times New Roman" w:hAnsi="Times New Roman" w:cs="Times New Roman"/>
          <w:highlight w:val="none"/>
        </w:rPr>
        <w:t xml:space="preserve"> них наследников при принятии наследства.</w:t>
      </w:r>
    </w:p>
    <w:p>
      <w:pPr>
        <w:spacing w:before="0" w:after="0"/>
        <w:ind w:firstLine="567"/>
        <w:jc w:val="both"/>
      </w:pPr>
      <w:r>
        <w:rPr>
          <w:rFonts w:ascii="Times New Roman" w:eastAsia="Times New Roman" w:hAnsi="Times New Roman" w:cs="Times New Roman"/>
          <w:highlight w:val="none"/>
        </w:rPr>
        <w:t>Из разъяснений, содержащихся в абзаце 2 пункта 61 постановления Пленума Верховного Суда Российской Федерации от 29 мая 2012 года №9 «О судебной практике по делам о наследовании»,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 статьей 395 Гражданского кодекса Российской Федерации,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 пункта 1 статьи 401 Гражданского кодекса Российской Федерации, - по истечении времени, необходимого для принятия наследства (приобретения выморочного имущества); днем открытия наследства является день смерти гражданина (пункт 1 статьи 1112 Гражданского кодекса Российской Федерации).</w:t>
      </w:r>
    </w:p>
    <w:p>
      <w:pPr>
        <w:spacing w:before="0" w:after="0"/>
        <w:ind w:firstLine="567"/>
        <w:jc w:val="both"/>
      </w:pPr>
      <w:r>
        <w:rPr>
          <w:rFonts w:ascii="Times New Roman" w:eastAsia="Times New Roman" w:hAnsi="Times New Roman" w:cs="Times New Roman"/>
          <w:highlight w:val="none"/>
        </w:rPr>
        <w:t>По смыслу положений приведенных правовых норм обстоятельствами, имеющими юридическое значение для правильного разрешения спора между кредитором и наследниками должника о взыскании задолженности по кредитному договору, являются наличие наследников, принятие ими наследства, стоимость наследственного имущества.</w:t>
      </w:r>
    </w:p>
    <w:p>
      <w:pPr>
        <w:spacing w:before="0" w:after="0"/>
        <w:ind w:firstLine="567"/>
        <w:jc w:val="both"/>
      </w:pPr>
      <w:r>
        <w:rPr>
          <w:rFonts w:ascii="Times New Roman" w:eastAsia="Times New Roman" w:hAnsi="Times New Roman" w:cs="Times New Roman"/>
          <w:highlight w:val="none"/>
        </w:rPr>
        <w:t xml:space="preserve">Согласно п. 60 Постановления Пленума Верховного Суда РФ от 29 мая 2012 г. №9 «О судебной практике по делам о наследовании»,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а также </w:t>
      </w:r>
      <w:r>
        <w:rPr>
          <w:rStyle w:val="cat-ExternalSystemDefinedgrp-18rplc-36"/>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города федерального значения Москва и Санкт-Петербург или муниципальные образования, в собственность которых переходит выморочное имущество в порядке наследования по закону. Принявшие наследство наследники должника становятся солидарными </w:t>
      </w:r>
      <w:r>
        <w:rPr>
          <w:rFonts w:ascii="Times New Roman" w:eastAsia="Times New Roman" w:hAnsi="Times New Roman" w:cs="Times New Roman"/>
          <w:highlight w:val="none"/>
        </w:rPr>
        <w:t>должниками (статья 323 ГК РФ) в пределах стоимости перешедшего к ним наследственного имущества.</w:t>
      </w:r>
    </w:p>
    <w:p>
      <w:pPr>
        <w:spacing w:before="0" w:after="0"/>
        <w:ind w:firstLine="567"/>
        <w:jc w:val="both"/>
      </w:pPr>
      <w:r>
        <w:rPr>
          <w:rFonts w:ascii="Times New Roman" w:eastAsia="Times New Roman" w:hAnsi="Times New Roman" w:cs="Times New Roman"/>
          <w:highlight w:val="none"/>
        </w:rPr>
        <w:t>Наследники, совершившие действия, свидетельствующие о фактическом принятии наследства, отвечают по долгам наследодателя в пределах стоимости всего причитающегося им наследственного имущества.</w:t>
      </w:r>
    </w:p>
    <w:p>
      <w:pPr>
        <w:spacing w:before="0" w:after="0"/>
        <w:ind w:firstLine="567"/>
        <w:jc w:val="both"/>
      </w:pPr>
      <w:r>
        <w:rPr>
          <w:rFonts w:ascii="Times New Roman" w:eastAsia="Times New Roman" w:hAnsi="Times New Roman" w:cs="Times New Roman"/>
          <w:highlight w:val="none"/>
        </w:rPr>
        <w:t>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(пункт 1 статьи 416 ГК РФ).</w:t>
      </w:r>
    </w:p>
    <w:p>
      <w:pPr>
        <w:spacing w:before="0" w:after="0"/>
        <w:ind w:firstLine="567"/>
        <w:jc w:val="both"/>
      </w:pPr>
      <w:r>
        <w:rPr>
          <w:rFonts w:ascii="Times New Roman" w:eastAsia="Times New Roman" w:hAnsi="Times New Roman" w:cs="Times New Roman"/>
          <w:highlight w:val="none"/>
        </w:rPr>
        <w:t>Требования кредиторов по обязательствам наследников, возникающим после принятия наследства (например, по оплате унаследованного жилого помещения и коммунальных услуг), удовлетворяются за счет имущества наследников.</w:t>
      </w:r>
    </w:p>
    <w:p>
      <w:pPr>
        <w:spacing w:before="0" w:after="0"/>
        <w:ind w:firstLine="567"/>
        <w:jc w:val="both"/>
      </w:pPr>
      <w:r>
        <w:rPr>
          <w:rFonts w:ascii="Times New Roman" w:eastAsia="Times New Roman" w:hAnsi="Times New Roman" w:cs="Times New Roman"/>
          <w:highlight w:val="none"/>
        </w:rPr>
        <w:t>До настоящего момента задолженность должником не погашена.</w:t>
      </w:r>
    </w:p>
    <w:p>
      <w:pPr>
        <w:spacing w:before="0" w:after="0"/>
        <w:ind w:firstLine="567"/>
        <w:jc w:val="both"/>
      </w:pPr>
      <w:r>
        <w:rPr>
          <w:rFonts w:ascii="Times New Roman" w:eastAsia="Times New Roman" w:hAnsi="Times New Roman" w:cs="Times New Roman"/>
          <w:highlight w:val="none"/>
        </w:rPr>
        <w:t>Суд считает возможным согласиться с представленным расчетом истца, поскольку расчет произведен в соответствии с условиями договора, установленного порядка погашения задолженности, с учетом периода образовавшейся задолженности и размера процентов по договору, ответчиком не оспорен.</w:t>
      </w:r>
    </w:p>
    <w:p>
      <w:pPr>
        <w:spacing w:before="0" w:after="0"/>
        <w:ind w:firstLine="567"/>
        <w:jc w:val="both"/>
      </w:pPr>
      <w:r>
        <w:rPr>
          <w:rFonts w:ascii="Times New Roman" w:eastAsia="Times New Roman" w:hAnsi="Times New Roman" w:cs="Times New Roman"/>
          <w:highlight w:val="none"/>
        </w:rPr>
        <w:t>В силу ст. 150 ГПК РФ непредставление ответчиком доказательств и возражений не препятствует рассмотрению дела по имеющимся в деле доказательствам.</w:t>
      </w:r>
    </w:p>
    <w:p>
      <w:pPr>
        <w:spacing w:before="0" w:after="0"/>
        <w:ind w:firstLine="567"/>
        <w:jc w:val="both"/>
      </w:pPr>
      <w:r>
        <w:rPr>
          <w:rFonts w:ascii="Times New Roman" w:eastAsia="Times New Roman" w:hAnsi="Times New Roman" w:cs="Times New Roman"/>
          <w:highlight w:val="none"/>
        </w:rPr>
        <w:t xml:space="preserve">Оценив в совокупности представленные доказательства, с учетом отсутствия со стороны ответчика доказательств, подтверждающих факт надлежащего исполнения условий пользования потребительского кредита, согласно статье 56 ГПК РФ, учитывая, что задолженность по </w:t>
      </w:r>
      <w:r>
        <w:rPr>
          <w:rFonts w:ascii="Times New Roman" w:eastAsia="Times New Roman" w:hAnsi="Times New Roman" w:cs="Times New Roman"/>
          <w:highlight w:val="none"/>
        </w:rPr>
        <w:t>эмиссионному контракту</w:t>
      </w:r>
      <w:r>
        <w:rPr>
          <w:rFonts w:ascii="Times New Roman" w:eastAsia="Times New Roman" w:hAnsi="Times New Roman" w:cs="Times New Roman"/>
          <w:highlight w:val="none"/>
        </w:rPr>
        <w:t xml:space="preserve"> до настоящего времени не погашена, что является существенным нарушением условий договора, суд находит исковые требования о взыскании с </w:t>
      </w:r>
      <w:r>
        <w:rPr>
          <w:rFonts w:ascii="Times New Roman" w:eastAsia="Times New Roman" w:hAnsi="Times New Roman" w:cs="Times New Roman"/>
          <w:highlight w:val="none"/>
        </w:rPr>
        <w:t>Медведевой А.В.</w:t>
      </w:r>
      <w:r>
        <w:rPr>
          <w:rFonts w:ascii="Times New Roman" w:eastAsia="Times New Roman" w:hAnsi="Times New Roman" w:cs="Times New Roman"/>
          <w:highlight w:val="none"/>
        </w:rPr>
        <w:t xml:space="preserve"> задолженности подлежащими удовлетворению в размере </w:t>
      </w:r>
      <w:r>
        <w:rPr>
          <w:rStyle w:val="cat-Sumgrp-11rplc-38"/>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а потому с ответчика в пользу истца подлежат взысканию расходы по оплате государственной пошлины в размере</w:t>
      </w:r>
      <w:r>
        <w:rPr>
          <w:rFonts w:ascii="Times New Roman" w:eastAsia="Times New Roman" w:hAnsi="Times New Roman" w:cs="Times New Roman"/>
          <w:highlight w:val="none"/>
        </w:rPr>
        <w:t xml:space="preserve">  </w:t>
      </w:r>
      <w:r>
        <w:rPr>
          <w:rStyle w:val="cat-Sumgrp-12rplc-3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руководствуясь ст.ст. 194-198</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ГПК РФ, суд</w:t>
      </w:r>
    </w:p>
    <w:p>
      <w:pPr>
        <w:spacing w:before="0" w:after="0"/>
        <w:jc w:val="both"/>
      </w:pPr>
    </w:p>
    <w:p>
      <w:pPr>
        <w:spacing w:before="0" w:after="0"/>
        <w:ind w:firstLine="360"/>
        <w:jc w:val="center"/>
      </w:pPr>
      <w:r>
        <w:rPr>
          <w:rFonts w:ascii="Times New Roman" w:eastAsia="Times New Roman" w:hAnsi="Times New Roman" w:cs="Times New Roman"/>
          <w:b/>
          <w:bCs/>
          <w:highlight w:val="none"/>
        </w:rPr>
        <w:t>РЕШИЛ:</w:t>
      </w:r>
    </w:p>
    <w:p>
      <w:pPr>
        <w:spacing w:before="0" w:after="0"/>
        <w:ind w:firstLine="567"/>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 xml:space="preserve">Медведевой Анастасии Владимировны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Сбербанк</w:t>
      </w:r>
      <w:r>
        <w:rPr>
          <w:rFonts w:ascii="Times New Roman" w:eastAsia="Times New Roman" w:hAnsi="Times New Roman" w:cs="Times New Roman"/>
          <w:highlight w:val="none"/>
        </w:rPr>
        <w:t xml:space="preserve"> в лице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филиала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сумму задолженности </w:t>
      </w:r>
      <w:r>
        <w:rPr>
          <w:rFonts w:ascii="Times New Roman" w:eastAsia="Times New Roman" w:hAnsi="Times New Roman" w:cs="Times New Roman"/>
          <w:highlight w:val="none"/>
        </w:rPr>
        <w:t>по эмиссионному контракту № 0910-Р-492870401 от 09.11</w:t>
      </w:r>
      <w:r>
        <w:rPr>
          <w:rFonts w:ascii="Times New Roman" w:eastAsia="Times New Roman" w:hAnsi="Times New Roman" w:cs="Times New Roman"/>
          <w:highlight w:val="none"/>
        </w:rPr>
        <w:t xml:space="preserve">.2011 в размере </w:t>
      </w:r>
      <w:r>
        <w:rPr>
          <w:rStyle w:val="cat-Sumgrp-11rplc-4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расходы по оплате государственной пошлины в размере </w:t>
      </w:r>
      <w:r>
        <w:rPr>
          <w:rStyle w:val="cat-Sumgrp-12rplc-42"/>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в апелляционном порядке в Московский городской суд через </w:t>
      </w:r>
      <w:r>
        <w:rPr>
          <w:rFonts w:ascii="Times New Roman" w:eastAsia="Times New Roman" w:hAnsi="Times New Roman" w:cs="Times New Roman"/>
          <w:highlight w:val="none"/>
        </w:rPr>
        <w:t>Басманный</w:t>
      </w:r>
      <w:r>
        <w:rPr>
          <w:rFonts w:ascii="Times New Roman" w:eastAsia="Times New Roman" w:hAnsi="Times New Roman" w:cs="Times New Roman"/>
          <w:highlight w:val="none"/>
        </w:rPr>
        <w:t xml:space="preserve"> районный суд в течение месяца со дня его принятия в окончательной форме. </w:t>
      </w:r>
    </w:p>
    <w:p>
      <w:pPr>
        <w:spacing w:before="0" w:after="0"/>
        <w:jc w:val="both"/>
      </w:pPr>
    </w:p>
    <w:p>
      <w:pPr>
        <w:spacing w:before="0" w:after="0"/>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Судья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Style w:val="cat-FIOgrp-10rplc-43"/>
          <w:rFonts w:ascii="Times New Roman" w:eastAsia="Times New Roman" w:hAnsi="Times New Roman" w:cs="Times New Roman"/>
          <w:highlight w:val="none"/>
        </w:rPr>
        <w:t>фио</w:t>
      </w: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sectPr>
      <w:headerReference w:type="default" r:id="rId4"/>
      <w:footerReference w:type="default" r:id="rId5"/>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pPr>
  </w:p>
  <w:p>
    <w:pPr>
      <w:spacing w:before="0" w:after="0"/>
      <w:rPr>
        <w:sz w:val="22"/>
        <w:szCs w:val="2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rPr>
        <w:sz w:val="22"/>
        <w:szCs w:val="22"/>
      </w:rPr>
    </w:pPr>
    <w:r>
      <w:rPr>
        <w:rFonts w:ascii="Times New Roman" w:eastAsia="Times New Roman" w:hAnsi="Times New Roman" w:cs="Times New Roman"/>
        <w:sz w:val="22"/>
        <w:szCs w:val="22"/>
        <w:highlight w:val="none"/>
      </w:rPr>
      <w:t xml:space="preserve">УИД </w:t>
    </w:r>
    <w:r>
      <w:rPr>
        <w:rFonts w:ascii="Times New Roman" w:eastAsia="Times New Roman" w:hAnsi="Times New Roman" w:cs="Times New Roman"/>
        <w:sz w:val="22"/>
        <w:szCs w:val="22"/>
        <w:highlight w:val="none"/>
      </w:rPr>
      <w:t>77RS0002-02-2022-012600-84</w:t>
    </w:r>
  </w:p>
  <w:p>
    <w:pPr>
      <w:spacing w:before="0" w:after="0"/>
      <w:rPr>
        <w:sz w:val="22"/>
        <w:szCs w:val="2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4rplc-3">
    <w:name w:val="cat-FIO grp-4 rplc-3"/>
    <w:basedOn w:val="DefaultParagraphFont"/>
  </w:style>
  <w:style w:type="character" w:customStyle="1" w:styleId="cat-Sumgrp-11rplc-6">
    <w:name w:val="cat-Sum grp-11 rplc-6"/>
    <w:basedOn w:val="DefaultParagraphFont"/>
  </w:style>
  <w:style w:type="character" w:customStyle="1" w:styleId="cat-Sumgrp-12rplc-7">
    <w:name w:val="cat-Sum grp-12 rplc-7"/>
    <w:basedOn w:val="DefaultParagraphFont"/>
  </w:style>
  <w:style w:type="character" w:customStyle="1" w:styleId="cat-FIOgrp-6rplc-8">
    <w:name w:val="cat-FIO grp-6 rplc-8"/>
    <w:basedOn w:val="DefaultParagraphFont"/>
  </w:style>
  <w:style w:type="character" w:customStyle="1" w:styleId="cat-FIOgrp-6rplc-9">
    <w:name w:val="cat-FIO grp-6 rplc-9"/>
    <w:basedOn w:val="DefaultParagraphFont"/>
  </w:style>
  <w:style w:type="character" w:customStyle="1" w:styleId="cat-FIOgrp-6rplc-10">
    <w:name w:val="cat-FIO grp-6 rplc-10"/>
    <w:basedOn w:val="DefaultParagraphFont"/>
  </w:style>
  <w:style w:type="character" w:customStyle="1" w:styleId="cat-Sumgrp-13rplc-11">
    <w:name w:val="cat-Sum grp-13 rplc-11"/>
    <w:basedOn w:val="DefaultParagraphFont"/>
  </w:style>
  <w:style w:type="character" w:customStyle="1" w:styleId="cat-Sumgrp-14rplc-12">
    <w:name w:val="cat-Sum grp-14 rplc-12"/>
    <w:basedOn w:val="DefaultParagraphFont"/>
  </w:style>
  <w:style w:type="character" w:customStyle="1" w:styleId="cat-Sumgrp-15rplc-13">
    <w:name w:val="cat-Sum grp-15 rplc-13"/>
    <w:basedOn w:val="DefaultParagraphFont"/>
  </w:style>
  <w:style w:type="character" w:customStyle="1" w:styleId="cat-FIOgrp-6rplc-14">
    <w:name w:val="cat-FIO grp-6 rplc-14"/>
    <w:basedOn w:val="DefaultParagraphFont"/>
  </w:style>
  <w:style w:type="character" w:customStyle="1" w:styleId="cat-FIOgrp-6rplc-16">
    <w:name w:val="cat-FIO grp-6 rplc-16"/>
    <w:basedOn w:val="DefaultParagraphFont"/>
  </w:style>
  <w:style w:type="character" w:customStyle="1" w:styleId="cat-FIOgrp-7rplc-17">
    <w:name w:val="cat-FIO grp-7 rplc-17"/>
    <w:basedOn w:val="DefaultParagraphFont"/>
  </w:style>
  <w:style w:type="character" w:customStyle="1" w:styleId="cat-FIOgrp-6rplc-18">
    <w:name w:val="cat-FIO grp-6 rplc-18"/>
    <w:basedOn w:val="DefaultParagraphFont"/>
  </w:style>
  <w:style w:type="character" w:customStyle="1" w:styleId="cat-FIOgrp-6rplc-19">
    <w:name w:val="cat-FIO grp-6 rplc-19"/>
    <w:basedOn w:val="DefaultParagraphFont"/>
  </w:style>
  <w:style w:type="character" w:customStyle="1" w:styleId="cat-Sumgrp-16rplc-20">
    <w:name w:val="cat-Sum grp-16 rplc-20"/>
    <w:basedOn w:val="DefaultParagraphFont"/>
  </w:style>
  <w:style w:type="character" w:customStyle="1" w:styleId="cat-Sumgrp-17rplc-21">
    <w:name w:val="cat-Sum grp-17 rplc-21"/>
    <w:basedOn w:val="DefaultParagraphFont"/>
  </w:style>
  <w:style w:type="character" w:customStyle="1" w:styleId="cat-FIOgrp-6rplc-23">
    <w:name w:val="cat-FIO grp-6 rplc-23"/>
    <w:basedOn w:val="DefaultParagraphFont"/>
  </w:style>
  <w:style w:type="character" w:customStyle="1" w:styleId="cat-FIOgrp-6rplc-24">
    <w:name w:val="cat-FIO grp-6 rplc-24"/>
    <w:basedOn w:val="DefaultParagraphFont"/>
  </w:style>
  <w:style w:type="character" w:customStyle="1" w:styleId="cat-FIOgrp-6rplc-25">
    <w:name w:val="cat-FIO grp-6 rplc-25"/>
    <w:basedOn w:val="DefaultParagraphFont"/>
  </w:style>
  <w:style w:type="character" w:customStyle="1" w:styleId="cat-Sumgrp-13rplc-26">
    <w:name w:val="cat-Sum grp-13 rplc-26"/>
    <w:basedOn w:val="DefaultParagraphFont"/>
  </w:style>
  <w:style w:type="character" w:customStyle="1" w:styleId="cat-FIOgrp-6rplc-27">
    <w:name w:val="cat-FIO grp-6 rplc-27"/>
    <w:basedOn w:val="DefaultParagraphFont"/>
  </w:style>
  <w:style w:type="character" w:customStyle="1" w:styleId="cat-FIOgrp-6rplc-28">
    <w:name w:val="cat-FIO grp-6 rplc-28"/>
    <w:basedOn w:val="DefaultParagraphFont"/>
  </w:style>
  <w:style w:type="character" w:customStyle="1" w:styleId="cat-Addressgrp-2rplc-29">
    <w:name w:val="cat-Address grp-2 rplc-29"/>
    <w:basedOn w:val="DefaultParagraphFont"/>
  </w:style>
  <w:style w:type="character" w:customStyle="1" w:styleId="cat-FIOgrp-6rplc-31">
    <w:name w:val="cat-FIO grp-6 rplc-31"/>
    <w:basedOn w:val="DefaultParagraphFont"/>
  </w:style>
  <w:style w:type="character" w:customStyle="1" w:styleId="cat-Sumgrp-14rplc-32">
    <w:name w:val="cat-Sum grp-14 rplc-32"/>
    <w:basedOn w:val="DefaultParagraphFont"/>
  </w:style>
  <w:style w:type="character" w:customStyle="1" w:styleId="cat-Sumgrp-15rplc-33">
    <w:name w:val="cat-Sum grp-15 rplc-33"/>
    <w:basedOn w:val="DefaultParagraphFont"/>
  </w:style>
  <w:style w:type="character" w:customStyle="1" w:styleId="cat-FIOgrp-6rplc-34">
    <w:name w:val="cat-FIO grp-6 rplc-34"/>
    <w:basedOn w:val="DefaultParagraphFont"/>
  </w:style>
  <w:style w:type="character" w:customStyle="1" w:styleId="cat-ExternalSystemDefinedgrp-18rplc-36">
    <w:name w:val="cat-ExternalSystemDefined grp-18 rplc-36"/>
    <w:basedOn w:val="DefaultParagraphFont"/>
  </w:style>
  <w:style w:type="character" w:customStyle="1" w:styleId="cat-Sumgrp-11rplc-38">
    <w:name w:val="cat-Sum grp-11 rplc-38"/>
    <w:basedOn w:val="DefaultParagraphFont"/>
  </w:style>
  <w:style w:type="character" w:customStyle="1" w:styleId="cat-Sumgrp-12rplc-39">
    <w:name w:val="cat-Sum grp-12 rplc-39"/>
    <w:basedOn w:val="DefaultParagraphFont"/>
  </w:style>
  <w:style w:type="character" w:customStyle="1" w:styleId="cat-Sumgrp-11rplc-41">
    <w:name w:val="cat-Sum grp-11 rplc-41"/>
    <w:basedOn w:val="DefaultParagraphFont"/>
  </w:style>
  <w:style w:type="character" w:customStyle="1" w:styleId="cat-Sumgrp-12rplc-42">
    <w:name w:val="cat-Sum grp-12 rplc-42"/>
    <w:basedOn w:val="DefaultParagraphFont"/>
  </w:style>
  <w:style w:type="character" w:customStyle="1" w:styleId="cat-FIOgrp-10rplc-43">
    <w:name w:val="cat-FIO grp-10 rplc-4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