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AA30" w14:textId="77777777" w:rsidR="007D5428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  <w:bookmarkStart w:id="0" w:name="_GoBack"/>
      <w:bookmarkEnd w:id="0"/>
      <w:r w:rsidRPr="00085710"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  <w:t>РЕШЕНИЕ</w:t>
      </w:r>
    </w:p>
    <w:p w14:paraId="7463E04E" w14:textId="77777777" w:rsidR="007D5428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  <w:t>Именем Российской Федерации</w:t>
      </w:r>
    </w:p>
    <w:p w14:paraId="36A10D9E" w14:textId="77777777" w:rsidR="007D5428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B9434D9" w14:textId="77777777" w:rsidR="007D5428" w:rsidRPr="00085710" w:rsidRDefault="006A620A" w:rsidP="00414494">
      <w:pPr>
        <w:spacing w:after="0" w:line="240" w:lineRule="auto"/>
        <w:ind w:left="-709" w:firstLine="529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28 июня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201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7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года                                                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    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                      г. Москва</w:t>
      </w:r>
    </w:p>
    <w:p w14:paraId="5FBC497D" w14:textId="77777777" w:rsidR="00414494" w:rsidRP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55C2663" w14:textId="77777777" w:rsidR="007D5428" w:rsidRP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Нагатинский районный суд г. Москвы в составе председательствующего судьи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Клинцовой И.В.,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при секретаре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Ковалевой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А.Ю.,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</w:p>
    <w:p w14:paraId="4B3985F8" w14:textId="77777777" w:rsidR="007D5428" w:rsidRP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рассмотрев в открыт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ом судебном заседании дело № 2-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4222/17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по иску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Аджиева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ДД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к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ПАО «Сбербанк России»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, ООО СК «Сбербанк страхование жизни»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о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признании сделки недействительной, взыскании денежных средств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, </w:t>
      </w:r>
    </w:p>
    <w:p w14:paraId="78D56B68" w14:textId="77777777" w:rsidR="007D5428" w:rsidRP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E867FB3" w14:textId="77777777" w:rsidR="007D5428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УСТАНОВИЛ:</w:t>
      </w:r>
    </w:p>
    <w:p w14:paraId="78DDC6DF" w14:textId="77777777" w:rsidR="005C3AE3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F2358D6" w14:textId="77777777" w:rsidR="00414494" w:rsidRPr="00085710" w:rsidRDefault="006A620A" w:rsidP="00793746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Аджиев Д.Д.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обратил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ся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 суд с 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ском к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ПАО «Сбербанк России», ООО СК «Сбербанк страхование жизни» о признании сделки недействительной, взыскании денежных средств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. В обоснование своих требований указал, что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01.04.2015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ab/>
        <w:t xml:space="preserve">г. Аджиев Д.Д. заключил с ПАО «Сбербанк России» кредитный договор №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***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на сумму 300000 руб.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00 коп.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на 35 месяцев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со сроком действия с 01.04.2015 года по 01.04.2018 года под 24,578 % годовых. 13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.10.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2016 года через восемнадцать месяцев Аджиевым Д.Д. было произведено полное досрочное погашение кредита. Поскольку он пользовался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кредитом только половину срока, считает что с него незаконно было удержано 27108 руб. 92 коп.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 качестве процентов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за оставшуюся половину срока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кредита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, которой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он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не пользовался в виду полного досрочного погашения кредита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(127075 руб. 25 коп. деленное п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ополам составит 63537 руб. 63 коп. 90646 руб. 54 коп. - уплаченные мною проценты за 18-ть месяцев пользования кредитом. Разница, таким образом, составляет 27108 руб. 92 коп.). 01.04.2015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года Банк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выдал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Аджиев Д.Д.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сумму кредита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 размере 273090 руб. 00 к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оп.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вместо ожидаемых 300000 руб.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00 коп.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, т. е. меньше на 26910 руб.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00 коп. Как пояснили сотрудники отделения Банка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№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***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, из суммы кредита удержана страховая премия по договору страхования.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Считает, что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 кредитном договоре отсутствуют пункты, упоминающ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ие о страховании и порядке оплаты страховых взносов заемщиком, сотрудники банка не предоставили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ему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никакой информации о программе страхования, с Правилами страхования и договором страхования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его не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ознаком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или,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условия страхования жизни для заемщика креди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та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не выдали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, с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отрудники банка умышленно ввели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его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 заблуждение, предложив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Аджиеву Д.Д. 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подписать документы по оформлению кредита, не проинформировав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его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, что среди прочих документов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он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подписыва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договор страхования.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Считает, что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договор страхования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был заключен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им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под влиянием обмана.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 связи с чем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,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Аджиев Д.Д. 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составил заявление страховщику о возврате денег,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днако на сегодняшний день по истечении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двух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с лишним лет денежные средства в размере 26910 руб.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00 коп ему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не возвращены.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03.07.2015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года Ад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жиев Д.Д. 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направил в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ПАО «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Сбербанк России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»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на имя руководителя ВСП №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***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Царицынского отделения №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***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ПАО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«Сбербанк России» Воздвиженской Ю.В. претензию с требованием о возврате незаконно удержанных денежных средств, однако по истечении месяца  получил от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каз.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В декабре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2015 года Аджиев Д.Д. 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направил в ООО СК «Сбербанк страхование жизни» претензию, где изложил все обстоятельства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заключения договора под влиянием обмана. Согласно п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4.6 Договора страхования договор вступает в силу и срок его действия исчисляе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тся с даты заключения Договора страхования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, однако  Договоре страхования отсутствует дата его заключения, в связи с чем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Договор страхования №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***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имеет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юридической силы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. С учетом уточнения исковых требований просит признать сделку, оформленную страховым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полисом серии НПРО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lastRenderedPageBreak/>
        <w:t xml:space="preserve">№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***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, недействительной и применить последствия недействительности сделки в виде возврата уплаченной страховой премии в размере 26 910 руб. 00 коп., взыскав указанные денежные средства солидарно с ПАО «Сбербанк России» и ООО СК «Сбербанк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страхование жизни» в пользу Аджиева Д.Д.; взыскать солидарно с ПАО «Сбербанк России» и ООО СК «Сбербанк страхование жизни» в пользу Аджиева Д.Д. проценты за пользование чужими денежными средствами в размере 5281 руб.  50 коп., незаконно взысканные процент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ы в размере 27108 руб. 92 коп., компенсацию морального вреда в размере  50000 руб. 00 коп.</w:t>
      </w:r>
    </w:p>
    <w:p w14:paraId="3A140573" w14:textId="77777777" w:rsidR="00A70CE9" w:rsidRPr="00085710" w:rsidRDefault="006A620A" w:rsidP="00793746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Истец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Аджиев Д.Д.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судебном заседании доводы, изложенные в иске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и заявлении об уточнении исковых требований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, поддержал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 полном объеме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, просил их удовлетворить.</w:t>
      </w:r>
    </w:p>
    <w:p w14:paraId="2D21E26C" w14:textId="77777777" w:rsidR="00A70CE9" w:rsidRPr="00085710" w:rsidRDefault="006A620A" w:rsidP="00793746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Пре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дставитель ответчика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ООО «СК «Сбербанк страхование жизни»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доводы, изложенные в возражении на иск, поддержал, просил в удовлетворении заявленных исковых требованиях отказать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, просил применить срок исковой давности к требованиям истца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.</w:t>
      </w:r>
    </w:p>
    <w:p w14:paraId="07F81451" w14:textId="77777777" w:rsidR="00C60DB9" w:rsidRPr="00085710" w:rsidRDefault="006A620A" w:rsidP="00C60DB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Представитель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ответчик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ПАО «Сбербанк России»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в судебное заседание не явился, о дне, времени и месте слушания по делу извещен надлежащим образом,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просил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о рассмотрении дела в отсутствии представителя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, представил возражения на иск,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которых просил применить срок исковой давност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и ко всем требованиям истца,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в связи с чем, дело рассмотрено в отсутствие представителя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ответчика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 порядке ст. 167 ГПК РФ.</w:t>
      </w:r>
    </w:p>
    <w:p w14:paraId="53301B0D" w14:textId="77777777" w:rsidR="00A70CE9" w:rsidRPr="00085710" w:rsidRDefault="006A620A" w:rsidP="00793746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Выслушав пояснения истца и представителя ответчика, исследовав письменные материалы дела, суд находит заявленные исковые требования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не подлежащими удовлетворению, на основании нижеследующего.</w:t>
      </w:r>
    </w:p>
    <w:p w14:paraId="778AA154" w14:textId="77777777" w:rsidR="002B6567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соответствии со ст.ст. 420,421 ГК РФ договором признается соглашение двух или нескольких лиц об установлении, изменении или прекращении гражданских прав и обязанностей; граждане и юридические ли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ца свободны в заключении договора. Понуждение к заключению договора не допускается, за исключением случаев, когда обязанность заключить договор предусмотрена настоящим Кодексом, законом или добровольно принятым обязательством. Стороны могут заключить догов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ор, как предусмотренный, так и не предусмотренный законом или иными правовыми актами. Стороны могут заключить договор, в котором содержатся элементы различных договоров, предусмотренных законом или иными правовыми актами (смешанный договор).</w:t>
      </w:r>
    </w:p>
    <w:p w14:paraId="1C5C0B07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соответствии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с п. 1 ст. 421 ГК РФ, граждане и юридические лица свободны в заключении договоров.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 (ст. 422).</w:t>
      </w:r>
    </w:p>
    <w:p w14:paraId="121FDA98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Частью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1 ст. 432 ГК РФ установлено, что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условия, которы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6B11C4E5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На основании ст. 927 ГК РФ, страхование осу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ществляется на основании договоров имущественного или личного страхования, заключаемых гражданином или юридическим лицом (страхователем) со страховой организацией (страховщиком). Договор личного страхования является публичным договором (ст. 426 ГК РФ).</w:t>
      </w:r>
    </w:p>
    <w:p w14:paraId="23BB7091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lastRenderedPageBreak/>
        <w:t xml:space="preserve"> По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договору личного страхования одна сторона (страховщик) обязуется за обусловленную договором плату (страховую премию), уплачиваемую другой стороне (страхователем), выплатить единовременно или выплачивать периодически обусловленную договором сумму (страхову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ю сумму) в случае причинения вреда жизни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вого случая). Право на получение страховой суммы принадлежит лицу, в пользу которого заключен договор (п. 1 ст. 934 ГК РФ)</w:t>
      </w:r>
    </w:p>
    <w:p w14:paraId="68DA2963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соответствии со ст. 940 ГК РФ, договор страхования должен быть заключен в письменной форме. Договора страхования может быть заключе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н путем составления одного документа (п. 2 ст. 434 ГК РФ) либо вручения страховщиком страхователю на основании его письменного или устного заявления страхового полиса (свидетельства, сертификата, квитанции), подписанного страховщиком. </w:t>
      </w:r>
    </w:p>
    <w:p w14:paraId="1472BC72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последнем случае с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огласие страхователя заключить договор на предложенных страховщиком условиях подтверждается принятием от страховщика указанных в абзаце первом настоящего пунктов документов. </w:t>
      </w:r>
    </w:p>
    <w:p w14:paraId="10B41019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Страховщик при заключении договора страхования вправе применять разработанные им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или объединением страховщиков стандартные формы договора (страхового полиса) по отдельным видам страхования.</w:t>
      </w:r>
    </w:p>
    <w:p w14:paraId="66DA48C6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При заключении договора личного страхования между страхователем и страховщиком должно быть достигнуто соглашение: о застрахованном лице; о характер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 события, на случай наступления которого в жизни застрахованного лица осуществляется страхование (страхового случая); о размере страховой суммы; о сроке действия договора (ст. 942 ГК РФ).</w:t>
      </w:r>
    </w:p>
    <w:p w14:paraId="5F26CEE3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силу ст. 943 ГК РФ условия, на которых заключается договор страхо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вания, могут быть определены в стандартных правилах страхования соответствующего вида, принятых, одобренных или утвержденных страховщиком либо объединением страховщиком (правила страхования).</w:t>
      </w:r>
    </w:p>
    <w:p w14:paraId="6EDBB713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Условия, содержащиеся в правилах страхования и не включенные в 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екст договора страхования (страхового полиса), обязательны для страхователя (выгодоприобретателя), если в договоре (страховом полисе) прямо указывается на применение таких правил и сами правила изложены в одном документе с договором (страховым полисом) или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на его оборотной стороне либо приложены к нему. В последнем случае вручение страхователю при заключении договора правил страхования должно быть удостоверено записью в договоре.</w:t>
      </w:r>
    </w:p>
    <w:p w14:paraId="7E0B4138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Согласно ст. 957 ГК РФ договор страхования, если в нем не предусмотрено иное,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вступает в силу в момент уплаты страховой премии или первого ее взноса. Страхование, обусловленное договором страхования, распространяется на страховые случаи, происшедшие после вступления договора страхования в силу, если в договоре не предусмотрен иной с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рок начала действия страхования.</w:t>
      </w:r>
    </w:p>
    <w:p w14:paraId="10D20226" w14:textId="77777777" w:rsidR="0097093D" w:rsidRPr="00085710" w:rsidRDefault="006A620A" w:rsidP="0097093D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соответствии с п. 1 ст. 958 ГК РФ 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отпала, и существование страх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ового риска прекратилось по обстоятельствам иным, чем страховой случай. К таким обстоятельствам, в частности, относятся: гибель застрахованного имущества по причинам иным, чем наступление страхового случая; прекращение в установленном порядке предпринимате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льской деятельности лицом, застраховавшим предпринимательский риск или риск гражданской ответственности, связанной с этой деятельностью.</w:t>
      </w:r>
    </w:p>
    <w:p w14:paraId="63A92892" w14:textId="77777777" w:rsidR="0097093D" w:rsidRPr="00085710" w:rsidRDefault="006A620A" w:rsidP="0097093D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Страхователь (выгодоприобретатель) имеет право на отказ от договора страхования в любое время, если к моменту отказа во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зможность наступления страхового случая не отпала по обстоятельствам, указанным в пункте 1 настоящей статьи (п. 2 данной статьи закона).</w:t>
      </w:r>
    </w:p>
    <w:p w14:paraId="6B864ECA" w14:textId="77777777" w:rsidR="0097093D" w:rsidRPr="00085710" w:rsidRDefault="006A620A" w:rsidP="0097093D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Согласно п. 3 ст. 958 ГК РФ при досрочном прекращении договора страхования по обстоятельствам, указанным в пункте 1 нас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тоящей статьи, страховщик имеет право на часть страховой премии пропорционально времени, в течение которого действовало страхование.</w:t>
      </w:r>
    </w:p>
    <w:p w14:paraId="1A898EDA" w14:textId="77777777" w:rsidR="002B6567" w:rsidRPr="00085710" w:rsidRDefault="006A620A" w:rsidP="0097093D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При досрочном отказе страхователя (выгодоприобретателя) от договора страхования уплаченная страховщику страховая премия не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подлежит возврату, если договором не предусмотрено иное (абз. 2 п. 3 ст. 958 ГК РФ).</w:t>
      </w:r>
    </w:p>
    <w:p w14:paraId="2A39F13A" w14:textId="77777777" w:rsidR="0097093D" w:rsidRPr="00085710" w:rsidRDefault="006A620A" w:rsidP="0097093D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Как установлено в судебном заседании,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01.04.2015 года между ПАО «Сбербанк России» и Аджиевым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ДД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на условиях возвратности, платности, срочности, обеспеченности исполнения 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бязательств заемщика был заключен кредитный договор № 47697546, по условиям которого Аджиеву Д.Д. Банком предоставлен потребительский кредит в размере 300000 руб. 00 коп. сроком на 36 месяцев под 24,578 % годовых.</w:t>
      </w:r>
    </w:p>
    <w:p w14:paraId="0BE8021C" w14:textId="77777777" w:rsidR="0097093D" w:rsidRPr="00085710" w:rsidRDefault="006A620A" w:rsidP="0097093D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соответствии с пунктами 2, 17 Индивидуал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ьных условий кредитования, выдача кредита производиться путем зачисления на счет заемщика после выполнения условий, изложенных в пункте 2.1 Общих условий кредитования, которые, в свою очередь, каких-либо требований по страхованию жизни и здоровью заемщика,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страхованию финансовых рисков не предусматривает.</w:t>
      </w:r>
    </w:p>
    <w:p w14:paraId="5EA59CF3" w14:textId="77777777" w:rsidR="0097093D" w:rsidRPr="00085710" w:rsidRDefault="006A620A" w:rsidP="0097093D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01.04.2015 года кредитные денежные средства в размере 300 000 руб. 00 коп. были зачислены на банковский счет, открытый на имя Аджиева Д.Д., что подтверждается отчетом по счету.</w:t>
      </w:r>
    </w:p>
    <w:p w14:paraId="1282F9A3" w14:textId="77777777" w:rsidR="0097093D" w:rsidRPr="00085710" w:rsidRDefault="006A620A" w:rsidP="0097093D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01.04.2015 года между ООО СК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«Сбербанк страхование жизни» и Аджиевым Д. Д.  был заключен Договор страхования жизни, что подтверждается подписанным сторонами страховым полисом НПРО № 1100300353. </w:t>
      </w:r>
    </w:p>
    <w:p w14:paraId="45AF9025" w14:textId="77777777" w:rsidR="008F2B04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Договор страхования жизни, был подписан на основании Условий страхования жизни для заемщи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ка кредита, приложенных к страховому полису, по страховым рискам: «дожитие застрахованного лица до наступления события», «смерти застрахованного лица», «инвалидности 1 или 2 группы застрахованного лица» и «смерти от несчастного случая». </w:t>
      </w:r>
    </w:p>
    <w:p w14:paraId="7B39C28A" w14:textId="77777777" w:rsidR="008F2B04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Согласно п. 4.6 ст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рахового полиса срок действия договора страхования определен на 36 месяцев с даты заключения договора с уплатой страховой премии по п. 4.5. единовременно за весь срок действия договора в размере 26 190 руб. 00 коп.</w:t>
      </w:r>
    </w:p>
    <w:p w14:paraId="71E925EF" w14:textId="77777777" w:rsidR="008F2B04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01.04.2015 года в день заключения кредитн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ого договора кредитором со счета Аджиева Д.Д. была списана сумма размере 26910 руб. 00 коп. в счет оплаты страховой премии, что подтверждается банковским ордером от 01.04.2015 года, в котором стоит подпись истца.</w:t>
      </w:r>
    </w:p>
    <w:p w14:paraId="18614121" w14:textId="77777777" w:rsidR="008F2B04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Указанные обстоятельства не оспариваются ст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оронами. </w:t>
      </w:r>
    </w:p>
    <w:p w14:paraId="660C59D7" w14:textId="77777777" w:rsidR="00856B66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п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5.1 договора страхования указано, что страхователь ознакомлен и согласен с положениями, изложенными в настоящем страховом полисе и Условиях страхования, экземпляры которых получил. Там же содержатся сведения о предоставлении Аджиеву Д.Д. все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й необходимой и существенной информации о страховой услуге, в том числе, связанной с заключением, исполнением и прекращением договора страхования. </w:t>
      </w:r>
    </w:p>
    <w:p w14:paraId="02DF788F" w14:textId="77777777" w:rsidR="00856B66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Согласно п.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5.3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договора страхования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страхователь ознакомлен с тем, что страхование жизни и здоровья по дого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вору страхования является добровольным и не является обязательным условием предоставления банковских услуг. </w:t>
      </w:r>
    </w:p>
    <w:p w14:paraId="5220A532" w14:textId="77777777" w:rsidR="008F2B04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Факт ознакомления истца с приведенными выше условиями страхования подтверждается собственноручной подписью последнего в документе.</w:t>
      </w:r>
    </w:p>
    <w:p w14:paraId="496E3F31" w14:textId="77777777" w:rsidR="008F2B04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Согласно п. 4.9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договора страхования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предусмотрено досрочное прекращение договора страхования.</w:t>
      </w:r>
    </w:p>
    <w:p w14:paraId="257B04FB" w14:textId="77777777" w:rsidR="00856B66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соответствии с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п. 4.9.1 договор страхования прекращается до истечение срока, на который он был заключен, в следующих случаях: </w:t>
      </w:r>
    </w:p>
    <w:p w14:paraId="7B7AE447" w14:textId="77777777" w:rsidR="00856B66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4.9.1.1 выполнение страховщиком своих обязательс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тв по договору страхования (как это предусмотрено Условиями); </w:t>
      </w:r>
    </w:p>
    <w:p w14:paraId="3494627E" w14:textId="77777777" w:rsidR="00856B66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4.9.1.2 отказ страхователя от договора страхования в связи с полным досрочным исполнением обязательств перед Банком по кредитному договору (полным досрочным погашением задолженности по кредитно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му договору); </w:t>
      </w:r>
    </w:p>
    <w:p w14:paraId="3B93486D" w14:textId="77777777" w:rsidR="00856B66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4.9.1.3 отказ страхователя от договора страхования в ином случае, чем указано в подп. 4.9.1.2 настоящего страхового полиса; </w:t>
      </w:r>
    </w:p>
    <w:p w14:paraId="1C4E5079" w14:textId="77777777" w:rsidR="00856B66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4.9.1.4 при неоплате (несвоевременной или неполной оплате) страховой премии; </w:t>
      </w:r>
    </w:p>
    <w:p w14:paraId="0371E164" w14:textId="77777777" w:rsidR="00856B66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4.9.1.5 по соглашению сторон; </w:t>
      </w:r>
    </w:p>
    <w:p w14:paraId="42E06BFB" w14:textId="77777777" w:rsidR="00856B66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4.9.1.6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 иных случаях, предусмотренных законодательством Российской Федерации.</w:t>
      </w:r>
    </w:p>
    <w:p w14:paraId="369B4DEE" w14:textId="77777777" w:rsidR="0097093D" w:rsidRPr="00085710" w:rsidRDefault="006A620A" w:rsidP="008F2B0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Аналогичные основания прекращения действия договора страхования содержатся в п. 8.2 Условий страхования жизни для заемщика кредита, утвержденных Приказом Генерального директора ООО СУ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«Сбербанк страхования жизни» № 392 от 23.12.2014 г.</w:t>
      </w:r>
    </w:p>
    <w:p w14:paraId="7F0983D1" w14:textId="77777777" w:rsidR="00786B26" w:rsidRPr="00085710" w:rsidRDefault="006A620A" w:rsidP="00786B26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03.07.2015 года истцом в ПАО «Сбербанк России» была направлена претензия с требованием возврата денежных средств в размере 26910 руб. 00 коп., компенсации морального вреда в размере 40 000 руб. 00 коп.,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процентов за пользование чужими денежными средствами.</w:t>
      </w:r>
    </w:p>
    <w:p w14:paraId="2B12D965" w14:textId="77777777" w:rsidR="00786B26" w:rsidRPr="00085710" w:rsidRDefault="006A620A" w:rsidP="00786B26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30.07.2015 года письмом ПАО «Сбербанк России» разъяснил истцу условия страхования в части возврата уплаченной страховой премии (выкупной суммы) пропорционально неистекшему сроку действия договора в случ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ае отказа страхователя от договора страхования в связи с полным досрочным исполнением обязательств перед Банком по кредитному договору (полным досрочным погашением задолженности по кредитному договору). В то время как во всех других случаях клиент может от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ключиться от программы страхования по собственному желанию без возврата суммы выплаты, что предусмотрено Условиями страхования жизни для заемщика кредита. </w:t>
      </w:r>
    </w:p>
    <w:p w14:paraId="0D2AC3E6" w14:textId="77777777" w:rsidR="00786B26" w:rsidRPr="00085710" w:rsidRDefault="006A620A" w:rsidP="00786B26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24.12.2015 года истцом в ООО СК «Сбербанк страхование жизни» была направлена претензия с требованием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возврата страховой премии в размере 26910 руб. 00 коп.</w:t>
      </w:r>
    </w:p>
    <w:p w14:paraId="3CA9F79E" w14:textId="77777777" w:rsidR="00786B26" w:rsidRPr="00085710" w:rsidRDefault="006A620A" w:rsidP="00786B26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22.01.2016 года письмом ООО СК «Сбербанк страхование жизни» истцу разъяснены положения уже упомянутого п. 8.3 Условий страхования жизни для заемщика кредита. В этом письме также сообщено о расторжении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договора страхования №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***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от 01.04.2015 г. от 06.04.2015 года. </w:t>
      </w:r>
    </w:p>
    <w:p w14:paraId="5F8D308E" w14:textId="77777777" w:rsidR="00786B26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В обосновании своих требований о признании договора страхования жизни от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01.04.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2015 года недействительным и применении последствий недействительности сделки истец приводит доводы о том, что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на момент подписания страхового полиса сотрудники Царицынского отделения «Сбербанка России» №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***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умышленно ввели его в заблуждение, поскольку при подписании кредитного договора, не проинформировали о программе страхования, правилах страхования. Под обман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ом со стороны ответчика понимает отсутствие правомочий кредитора на ведение переговоров по заключению страхования от имени страховщика. При этом, из объяснений Аджиева Д.Д. суду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следует, что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он при  подписании договора страхования текст документа не читал,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что дает ему право оспаривать договор страхования по указанным основаниям.</w:t>
      </w:r>
    </w:p>
    <w:p w14:paraId="468C8E5A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Согласно ст. 153 ГК РФ 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14:paraId="193DF993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соответств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ии со ст. 166 ГК РФ 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сделка).</w:t>
      </w:r>
    </w:p>
    <w:p w14:paraId="799C3EEF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Требование о признании оспоримой сделки недействительной может быт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ь предъявлено стороной сделки или иным лицом, указанным в законе (п. 2 названной нормы закона).</w:t>
      </w:r>
    </w:p>
    <w:p w14:paraId="7A27626A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силу абз. 2 п. 2 ст. 166 ГК РФ оспоримая сделка может быть признана недействительной, если она нарушает права или охраняемые законом интересы лица, оспаривающ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его сделку, в том числе повлекла неблагоприятные для него последствия.</w:t>
      </w:r>
    </w:p>
    <w:p w14:paraId="53F765A2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Пунктом 1 ст. 167 ГК РФ предусмотрено, что недействительная сделка не влечет юридических последствий, за исключением тех, которые связаны с ее недействительностью, и недействительна с м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омента ее совершения.</w:t>
      </w:r>
    </w:p>
    <w:p w14:paraId="5502CBB2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соответствии со ст. 178 ГК РФ сделка, совершенная под влиянием заблуждения, имеющего существенное значение, может быть признана судом недействительной по иску стороны, действовавшей под влиянием заблуждения. Существенное значение им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еет заблуждение относительно природы сделки либо тождества или таких качеств ее предмета, которые значительно снижают возможности его использования по назначению. Заблуждение относительно мотивов сделки не имеет существенного значения.</w:t>
      </w:r>
    </w:p>
    <w:p w14:paraId="674D4F51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Пунктом 2 ст. 179 ГК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РФ сделка, совершенная под влиянием обмана, может быть признана судом недействительной по иску потерпевшего.</w:t>
      </w:r>
    </w:p>
    <w:p w14:paraId="1BE8C699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Учитывая, что истец оспаривает договор страхования под влиянием заблуждения, обмана, данная сделка является оспоримой, как совершенная с пороком 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олевого состава стороны договора, т.е. страхователя.</w:t>
      </w:r>
    </w:p>
    <w:p w14:paraId="4C178BD6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Согласно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3E5C69AF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Дово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ды, приведенные в исковом заявлении относительно взаимодействия истца с сотрудниками банка, не подтверждены документально. Истцом не представлено доказательств относительно того, что он был введен в заблуждение или от него что-то скрыли. Напротив, собствен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норучная подпись Аджиева Д.Д. в договоре страхования свидетельствует о том, что он ознакомлен с условиями и согласен с ними (раздел 6 Договора страхования).</w:t>
      </w:r>
    </w:p>
    <w:p w14:paraId="7A4F2959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Судом установлено, что ответчик ООО СК «Сбербанк страхование жизни» предпринял действия по доведени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ю до истца Аджиева Д.Д. информации об условиях страхования, тем самым способствовал свободному выбору истца данной услуги на случай наступления страховых рисков. К конклюдентным действиям страхователя, направленным на прекращение правоотношений из договора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страхования также следует отнести многочисленные претензии истца о расторжении договора, возврате денежных средств, что в совокупности не свидетельствует о совершении истцом сделки с пороком волевого состава стороны договора, т.е. не под влиянием заблужде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ния или обмана, что говорит о ненедоказанности требований истца о признании договора страхования недействительным.</w:t>
      </w:r>
    </w:p>
    <w:p w14:paraId="49F2462D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Факт, что в договоре страхования не указана  дата его заключения, не влияет на выводы суда об отказе в удовлетворении иска, поскольку к момен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ту предъявления такового оспариваемый договор страхования расторгнут в связи с отказом страхователя от его исполнения, а следовательно правоотношения сторон из полиса страхования были прекращены к моменту предъявления требований. Тем самым суд не может при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знать договор страхования недействительным, в том числе по мотиву его расторжения с прекращением правоотношений сторон. Производное требование истца о применении последствий недействительности сделки в виде возврата страховой премии в размере 26 910 рублей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удовлетворению не подлежит.</w:t>
      </w:r>
    </w:p>
    <w:p w14:paraId="6E7AF626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Возможность досрочного прекращения договора страхования регламентирована положениями статьи 958 ГК РФ.</w:t>
      </w:r>
    </w:p>
    <w:p w14:paraId="7E420CC8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Согласно п. 1 ст. 958 ГК РФ, договор страхования прекращается до наступления срока, на который он был заключен, если после 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го вступления в силу возможность наступления страхового случая отпала, и существование страхового риска прекратилось по обстоятельствам иным, чем страховой случай. К таким обстоятельствам, в частности, относятся: гибель застрахованного имущества по причина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м иным, чем наступление страхового случая; прекращение в установленном порядке предпринимательской деятельности лицом, застраховавшим предпринимательский риск или риск гражданской ответственности, связанной с этой деятельностью.</w:t>
      </w:r>
    </w:p>
    <w:p w14:paraId="46F153F6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При досрочном прекращении д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оговора страхования по обстоятельствам, указанным в п.1 ст. 958 ГК РФ, страховщик имеет право на часть страховой премии пропорционально времени, в течение которого действовало страхование (п. 3 ст. 958 ГК РФ).</w:t>
      </w:r>
    </w:p>
    <w:p w14:paraId="332ECF39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Однако досрочное погашение кредита не относитс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я к обстоятельствам, указанным в п. 1 ст. 958 ГК РФ для досрочного прекращения договора страхования, и, соответственно, для применения последствий такого прекращения, изложенных в пункте 3 указанной статьи, поскольку само по себе досрочное погашение кредит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ных обязательств не свидетельствует о том, что возможность наступления страхового случая (смерть или постоянная полная нетрудоспособность в результате несчастного случая или болезни) отпала, и существование страхового риска прекратилось.</w:t>
      </w:r>
    </w:p>
    <w:p w14:paraId="25D082CB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Из договора добров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ольного страхования, заключенного между истцом и ООО СК «Сбербанк страхование жизни», следует, что действие договора страхования не ставится в зависимость от действия кредитного договора.</w:t>
      </w:r>
    </w:p>
    <w:p w14:paraId="4B366B5B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Вместе с тем пунктом 2 статьи 958 ГК РФ предусмотрено право страхова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теля (выгодоприобретателя) на отказ от договора страхования в любое время, если к моменту отказа возможность наступления страхового случая не отпала по обстоятельствам, указанным в пункте 1 настоящей статьи. Абзац второй пункта 3 данной статьи определяет,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что при досрочном отказе страхователя (выгодоприобретателя) от договора страхования уплаченная страховщиком страховая премия не подлежит возврату, если договором не предусмотрено иное.</w:t>
      </w:r>
    </w:p>
    <w:p w14:paraId="01C15216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Из изложенного следует, что заемщик, досрочно погасивший кредит, вправе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отказаться от договора страхования жизни, но не вправе требовать возврата уплаченной страховой премии, кроме случаев, предусмотренных договором.</w:t>
      </w:r>
    </w:p>
    <w:p w14:paraId="7076C92A" w14:textId="77777777" w:rsidR="00D14451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Поскольку договор страхования не содержит положений о возврате страховой премии при досрочном погашении кредит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 или досрочном расторжении договора по инициативе страхователя, а при досрочном погашении кредита обстоятельств, предусмотренных п. 1 ст. 958 ГК РФ не наступило, так как по договору страхования страховым случаем являются, смерть застрахованного лица, уста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новление ему инвалидности 1 группы или 2 группы, недобровольная потеря работы, суд приходит к выводу, что требования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Аджиева Д.Д.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удовлетворению не подлежат.</w:t>
      </w:r>
    </w:p>
    <w:p w14:paraId="181052CA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Из разъяснений п. 2 Постановления Пленума Верховного Суда РФ от 28.06.2012 г. № 17 «О рассмотрении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судами гражданских дел по спорам о защите прав потребителей», если отдельные виды отношений с участием потребителей регулируются и специальными законами Российской Федерации, содержащими нормы гражданского права (например, договор участия в долевом строит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ельстве, договор страхования, как личного, так и имущественного, договор банковского вклада, договор перевозки, договор энергоснабжения), то к отношениям, возникающим из таких договоров, Закон о защите прав потребителей применяется в части, не урегулирован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ной специальными законами. Положения главы 48 «Страхование» ГК РФ являются специальными по отношению к Закону о защите прав потребителей, в силу чего спорные правоотношения сторон регулируются ст. 958 ГК РФ. Причем требования Аджиева Д.Д. заявлены по основ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аниям ст.ст. 166,167,178,179 ГК РФ, поэтому суд не усматривает оснований для применения ст. 15 Закона РФ «О защите прав потребителей».</w:t>
      </w:r>
    </w:p>
    <w:p w14:paraId="4544C39C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Вместе с тем, самостоятельным основанием для отказа в удовлетворении заявленных требований суд считает пропуск истцом сро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ка исковой давности.</w:t>
      </w:r>
    </w:p>
    <w:p w14:paraId="7A11024C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соответствии со ст. 195 ГК РФ исковой давностью признается срок для защиты права по иску лица, право которого нарушено.</w:t>
      </w:r>
    </w:p>
    <w:p w14:paraId="79921A83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судебном заседании представитель ответчика ООО СК «Сбербанк страхование жизни» заявил о применении срока исково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й давности.</w:t>
      </w:r>
    </w:p>
    <w:p w14:paraId="75100BFF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Так же ответчик ПАО «Сбербанк России» в своих письменных возражениях на иск заявил о применении срока исковой давности ко всем требованиям истца.</w:t>
      </w:r>
    </w:p>
    <w:p w14:paraId="03A931F2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Согласно п. 2 ст. 199 ГК РФ требование о защите нарушенного права принимается к рассмотрению судом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независимо от истечения срока исковой давности. Исковая давность применяется судом только по заявлению стороны в споре, сделанному до вынесения судом решения. Истечение срока исковой давности, о применении которой заявлено стороной в споре, является основ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анием к вынесению судом решения об отказе в иске.</w:t>
      </w:r>
    </w:p>
    <w:p w14:paraId="0CEDD195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силу ст. 181 ГК РФ иск о признании оспоримой сделки недействительной и о применении последствий ее недействительности может быть предъявлен в течение года со дня прекращения насилия или угрозы, под влияни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ем которых была совершена сделка (пункт 1 статьи 179), либо со дня, когда истец узнал или должен был узнать об иных обстоятельствах, являющихся основанием для признания сделки недействительной.</w:t>
      </w:r>
    </w:p>
    <w:p w14:paraId="1A8DEB3E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Возражая против применения судом срока исковой давности истец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Аджиев Д.Д. </w:t>
      </w:r>
      <w:r w:rsidRPr="00085710">
        <w:rPr>
          <w:rFonts w:ascii="Bookman Old Style" w:eastAsia="Times New Roman" w:hAnsi="Bookman Old Style" w:cs="Bookman Old Style"/>
          <w:color w:val="000000"/>
          <w:sz w:val="24"/>
          <w:szCs w:val="24"/>
          <w:lang w:eastAsia="ru-RU"/>
        </w:rPr>
        <w:t>указал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 w:cs="Bookman Old Style"/>
          <w:color w:val="000000"/>
          <w:sz w:val="24"/>
          <w:szCs w:val="24"/>
          <w:lang w:eastAsia="ru-RU"/>
        </w:rPr>
        <w:t>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 w:cs="Bookman Old Style"/>
          <w:color w:val="000000"/>
          <w:sz w:val="24"/>
          <w:szCs w:val="24"/>
          <w:lang w:eastAsia="ru-RU"/>
        </w:rPr>
        <w:t>своем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 w:cs="Bookman Old Style"/>
          <w:color w:val="000000"/>
          <w:sz w:val="24"/>
          <w:szCs w:val="24"/>
          <w:lang w:eastAsia="ru-RU"/>
        </w:rPr>
        <w:t>праве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</w:t>
      </w:r>
      <w:r w:rsidRPr="00085710">
        <w:rPr>
          <w:rFonts w:ascii="Bookman Old Style" w:eastAsia="Times New Roman" w:hAnsi="Bookman Old Style" w:cs="Bookman Old Style"/>
          <w:color w:val="000000"/>
          <w:sz w:val="24"/>
          <w:szCs w:val="24"/>
          <w:lang w:eastAsia="ru-RU"/>
        </w:rPr>
        <w:t>оспарив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ать сделку по указанным выше мотивам, поскольку он с текстом договора страхования не ознакомлен, в момент подписания сам договор не читал.</w:t>
      </w:r>
    </w:p>
    <w:p w14:paraId="51866025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Согласно ст. 205 ГК РФ в исключительных случаях, когда суд признает уважитель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ной причину пропуска срока исковой давности по обстоятельствам, связанным с личностью истца (тяжелая болезнь, беспомощное состояние, неграмотность и т.п.), нарушенное право гражданина подлежит защите. Причины пропуска срока исковой давности могут признават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ься уважительными, если они имели место в последние шесть месяцев срока давности.</w:t>
      </w:r>
    </w:p>
    <w:p w14:paraId="2B23553E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Между тем, истец Аджиев Д.Д. в силу ст. 56 ГПК РФ не представил суду доказательств, подтверждающих уважительность причин пропуска срока исковой давности, а также обстоятельст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ва невозможности реализовать свое право на судебную защиту в пределах годичного срока с момента, когда он узнал или должен был узнать о нарушенном праве, то есть с даты подписания оспариваемого договора с 01.04.2015 года. Подобных обращений о восстановлени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и срока исковой давности суду не заявлял, 06.04.2015 года истец  обратился с письменным заявлением о возврате страховой премии за подключение к программе страхования от 01.04.2015 года, что доказывает то, что о нарушенном праве истец знал со дня подписания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договора страхования.</w:t>
      </w:r>
    </w:p>
    <w:p w14:paraId="0589F149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Таким образом, суд приходит к выводу о том, что срок исковой давности по требованию Аджиева Д.Д., о признании недействительным договора страхования, установленный ст. 181 ГК РФ, истек 01.04.2016 года, с исковым заявлением в суд он об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ратился 04.05.2017 года по истечении установленного законом срока на судебную защиту нарушенных прав. При таких обстоятельствах в удовлетворении иска следует отказать.</w:t>
      </w:r>
    </w:p>
    <w:p w14:paraId="17FA351E" w14:textId="77777777" w:rsidR="00D87B7B" w:rsidRPr="00085710" w:rsidRDefault="006A620A" w:rsidP="00D1445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Поскольку отсутствуют правовые основания для удовлетворения требований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Аджиева Д.Д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в час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ти взыскания с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ответчиком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ПАО «Сбербанк России»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и ООО СК «Сбербанк страхование жизни» возврата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страховой премии, то не подлежат удовлетворению и требования о взыскании процентов за пользование чужими денежными средствами,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незаконно взысканных процентов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, ко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мпенсации морального вреда.</w:t>
      </w:r>
    </w:p>
    <w:p w14:paraId="74D49131" w14:textId="77777777" w:rsidR="00941C6D" w:rsidRP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На основании изложенного, и руководствуясь ст.ст. 194-199 ГПК РФ, суд</w:t>
      </w:r>
    </w:p>
    <w:p w14:paraId="19D30814" w14:textId="77777777" w:rsidR="00941C6D" w:rsidRP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FE9A3BB" w14:textId="77777777" w:rsidR="00941C6D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РЕШИЛ:</w:t>
      </w:r>
    </w:p>
    <w:p w14:paraId="513B2D2D" w14:textId="77777777" w:rsidR="00414494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640F4EE" w14:textId="77777777" w:rsidR="00C111A8" w:rsidRPr="00085710" w:rsidRDefault="006A620A" w:rsidP="00C111A8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Исковые требования Аджиева </w:t>
      </w:r>
      <w:r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ДД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к ПАО «Сбербанк России», ООО СК «Сбербанк страхование жизни» о признании сделки недействительной, взыскании денежных ср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едств, – оставить без удовлетворения. </w:t>
      </w:r>
    </w:p>
    <w:p w14:paraId="650149A4" w14:textId="77777777" w:rsidR="00941C6D" w:rsidRP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Решение может быть обжаловано в апелляционном порядке в Московский городской суд путем подачи апелляционной жалобы через Нагатинский районный суд г. Москвы в течение месяца.</w:t>
      </w:r>
    </w:p>
    <w:p w14:paraId="7D730A17" w14:textId="77777777" w:rsidR="00941C6D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1571BAD" w14:textId="77777777" w:rsidR="00941C6D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5CD977C" w14:textId="77777777" w:rsidR="00941C6D" w:rsidRPr="00085710" w:rsidRDefault="006A620A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Судья                                   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 xml:space="preserve">                                                  </w:t>
      </w:r>
      <w:r w:rsidRPr="00085710"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  <w:t>И.В. Клинцова</w:t>
      </w:r>
    </w:p>
    <w:p w14:paraId="7B394F81" w14:textId="77777777" w:rsidR="00361CFB" w:rsidRP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0ABF170" w14:textId="77777777" w:rsidR="009A4F71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F5A2CFB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17C641E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C197897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833FA59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D17DDDF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7A77251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DD95565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5ADDC43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9E79E46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5AFDC84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6AB7BD0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BB99574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9A77A81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91367FA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888B5BE" w14:textId="77777777" w:rsidR="00085710" w:rsidRDefault="006A620A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FB0FE48" w14:textId="77777777" w:rsidR="00B737A5" w:rsidRPr="00085710" w:rsidRDefault="006A620A" w:rsidP="004A2D85">
      <w:pPr>
        <w:spacing w:after="0" w:line="240" w:lineRule="auto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sectPr w:rsidR="00B737A5" w:rsidRPr="00085710" w:rsidSect="004144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C085E"/>
    <w:multiLevelType w:val="hybridMultilevel"/>
    <w:tmpl w:val="E54C3208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96" w:hanging="360"/>
      </w:pPr>
    </w:lvl>
    <w:lvl w:ilvl="2" w:tentative="1">
      <w:start w:val="1"/>
      <w:numFmt w:val="lowerRoman"/>
      <w:lvlText w:val="%3."/>
      <w:lvlJc w:val="right"/>
      <w:pPr>
        <w:ind w:left="1516" w:hanging="180"/>
      </w:pPr>
    </w:lvl>
    <w:lvl w:ilvl="3" w:tentative="1">
      <w:start w:val="1"/>
      <w:numFmt w:val="decimal"/>
      <w:lvlText w:val="%4."/>
      <w:lvlJc w:val="left"/>
      <w:pPr>
        <w:ind w:left="2236" w:hanging="360"/>
      </w:pPr>
    </w:lvl>
    <w:lvl w:ilvl="4" w:tentative="1">
      <w:start w:val="1"/>
      <w:numFmt w:val="lowerLetter"/>
      <w:lvlText w:val="%5."/>
      <w:lvlJc w:val="left"/>
      <w:pPr>
        <w:ind w:left="2956" w:hanging="360"/>
      </w:pPr>
    </w:lvl>
    <w:lvl w:ilvl="5" w:tentative="1">
      <w:start w:val="1"/>
      <w:numFmt w:val="lowerRoman"/>
      <w:lvlText w:val="%6."/>
      <w:lvlJc w:val="right"/>
      <w:pPr>
        <w:ind w:left="3676" w:hanging="180"/>
      </w:pPr>
    </w:lvl>
    <w:lvl w:ilvl="6" w:tentative="1">
      <w:start w:val="1"/>
      <w:numFmt w:val="decimal"/>
      <w:lvlText w:val="%7."/>
      <w:lvlJc w:val="left"/>
      <w:pPr>
        <w:ind w:left="4396" w:hanging="360"/>
      </w:pPr>
    </w:lvl>
    <w:lvl w:ilvl="7" w:tentative="1">
      <w:start w:val="1"/>
      <w:numFmt w:val="lowerLetter"/>
      <w:lvlText w:val="%8."/>
      <w:lvlJc w:val="left"/>
      <w:pPr>
        <w:ind w:left="5116" w:hanging="360"/>
      </w:pPr>
    </w:lvl>
    <w:lvl w:ilvl="8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E872840"/>
    <w:multiLevelType w:val="hybridMultilevel"/>
    <w:tmpl w:val="DFEE6E06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9" w:hanging="360"/>
      </w:pPr>
    </w:lvl>
    <w:lvl w:ilvl="2" w:tentative="1">
      <w:start w:val="1"/>
      <w:numFmt w:val="lowerRoman"/>
      <w:lvlText w:val="%3."/>
      <w:lvlJc w:val="right"/>
      <w:pPr>
        <w:ind w:left="2339" w:hanging="180"/>
      </w:pPr>
    </w:lvl>
    <w:lvl w:ilvl="3" w:tentative="1">
      <w:start w:val="1"/>
      <w:numFmt w:val="decimal"/>
      <w:lvlText w:val="%4."/>
      <w:lvlJc w:val="left"/>
      <w:pPr>
        <w:ind w:left="3059" w:hanging="360"/>
      </w:pPr>
    </w:lvl>
    <w:lvl w:ilvl="4" w:tentative="1">
      <w:start w:val="1"/>
      <w:numFmt w:val="lowerLetter"/>
      <w:lvlText w:val="%5."/>
      <w:lvlJc w:val="left"/>
      <w:pPr>
        <w:ind w:left="3779" w:hanging="360"/>
      </w:pPr>
    </w:lvl>
    <w:lvl w:ilvl="5" w:tentative="1">
      <w:start w:val="1"/>
      <w:numFmt w:val="lowerRoman"/>
      <w:lvlText w:val="%6."/>
      <w:lvlJc w:val="right"/>
      <w:pPr>
        <w:ind w:left="4499" w:hanging="180"/>
      </w:pPr>
    </w:lvl>
    <w:lvl w:ilvl="6" w:tentative="1">
      <w:start w:val="1"/>
      <w:numFmt w:val="decimal"/>
      <w:lvlText w:val="%7."/>
      <w:lvlJc w:val="left"/>
      <w:pPr>
        <w:ind w:left="5219" w:hanging="360"/>
      </w:pPr>
    </w:lvl>
    <w:lvl w:ilvl="7" w:tentative="1">
      <w:start w:val="1"/>
      <w:numFmt w:val="lowerLetter"/>
      <w:lvlText w:val="%8."/>
      <w:lvlJc w:val="left"/>
      <w:pPr>
        <w:ind w:left="5939" w:hanging="360"/>
      </w:pPr>
    </w:lvl>
    <w:lvl w:ilvl="8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76C115C1"/>
    <w:multiLevelType w:val="hybridMultilevel"/>
    <w:tmpl w:val="F26227DA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96" w:hanging="360"/>
      </w:pPr>
    </w:lvl>
    <w:lvl w:ilvl="2" w:tentative="1">
      <w:start w:val="1"/>
      <w:numFmt w:val="lowerRoman"/>
      <w:lvlText w:val="%3."/>
      <w:lvlJc w:val="right"/>
      <w:pPr>
        <w:ind w:left="1516" w:hanging="180"/>
      </w:pPr>
    </w:lvl>
    <w:lvl w:ilvl="3" w:tentative="1">
      <w:start w:val="1"/>
      <w:numFmt w:val="decimal"/>
      <w:lvlText w:val="%4."/>
      <w:lvlJc w:val="left"/>
      <w:pPr>
        <w:ind w:left="2236" w:hanging="360"/>
      </w:pPr>
    </w:lvl>
    <w:lvl w:ilvl="4" w:tentative="1">
      <w:start w:val="1"/>
      <w:numFmt w:val="lowerLetter"/>
      <w:lvlText w:val="%5."/>
      <w:lvlJc w:val="left"/>
      <w:pPr>
        <w:ind w:left="2956" w:hanging="360"/>
      </w:pPr>
    </w:lvl>
    <w:lvl w:ilvl="5" w:tentative="1">
      <w:start w:val="1"/>
      <w:numFmt w:val="lowerRoman"/>
      <w:lvlText w:val="%6."/>
      <w:lvlJc w:val="right"/>
      <w:pPr>
        <w:ind w:left="3676" w:hanging="180"/>
      </w:pPr>
    </w:lvl>
    <w:lvl w:ilvl="6" w:tentative="1">
      <w:start w:val="1"/>
      <w:numFmt w:val="decimal"/>
      <w:lvlText w:val="%7."/>
      <w:lvlJc w:val="left"/>
      <w:pPr>
        <w:ind w:left="4396" w:hanging="360"/>
      </w:pPr>
    </w:lvl>
    <w:lvl w:ilvl="7" w:tentative="1">
      <w:start w:val="1"/>
      <w:numFmt w:val="lowerLetter"/>
      <w:lvlText w:val="%8."/>
      <w:lvlJc w:val="left"/>
      <w:pPr>
        <w:ind w:left="5116" w:hanging="360"/>
      </w:pPr>
    </w:lvl>
    <w:lvl w:ilvl="8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7ABC3F93"/>
    <w:multiLevelType w:val="hybridMultilevel"/>
    <w:tmpl w:val="F30CDB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EFB"/>
    <w:rsid w:val="006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32E08"/>
  <w15:chartTrackingRefBased/>
  <w15:docId w15:val="{33149D86-9B44-46D4-83C3-956E2DB0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1A8"/>
    <w:pPr>
      <w:spacing w:after="200" w:line="276" w:lineRule="auto"/>
    </w:pPr>
    <w:rPr>
      <w:sz w:val="22"/>
      <w:szCs w:val="22"/>
      <w:lang w:val="ru-RU" w:eastAsia="en-US"/>
    </w:rPr>
  </w:style>
  <w:style w:type="paragraph" w:styleId="3">
    <w:name w:val="heading 3"/>
    <w:basedOn w:val="a"/>
    <w:link w:val="30"/>
    <w:uiPriority w:val="9"/>
    <w:qFormat/>
    <w:rsid w:val="00536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3E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3EFB"/>
  </w:style>
  <w:style w:type="character" w:customStyle="1" w:styleId="fio5">
    <w:name w:val="fio5"/>
    <w:basedOn w:val="a0"/>
    <w:rsid w:val="00013EFB"/>
  </w:style>
  <w:style w:type="character" w:customStyle="1" w:styleId="data2">
    <w:name w:val="data2"/>
    <w:basedOn w:val="a0"/>
    <w:rsid w:val="00013EFB"/>
  </w:style>
  <w:style w:type="character" w:customStyle="1" w:styleId="fio6">
    <w:name w:val="fio6"/>
    <w:basedOn w:val="a0"/>
    <w:rsid w:val="00013EFB"/>
  </w:style>
  <w:style w:type="character" w:customStyle="1" w:styleId="nomer2">
    <w:name w:val="nomer2"/>
    <w:basedOn w:val="a0"/>
    <w:rsid w:val="00013EFB"/>
  </w:style>
  <w:style w:type="character" w:customStyle="1" w:styleId="fio7">
    <w:name w:val="fio7"/>
    <w:basedOn w:val="a0"/>
    <w:rsid w:val="00013EFB"/>
  </w:style>
  <w:style w:type="character" w:customStyle="1" w:styleId="fio10">
    <w:name w:val="fio10"/>
    <w:basedOn w:val="a0"/>
    <w:rsid w:val="00013EFB"/>
  </w:style>
  <w:style w:type="character" w:customStyle="1" w:styleId="others2">
    <w:name w:val="others2"/>
    <w:basedOn w:val="a0"/>
    <w:rsid w:val="00013EFB"/>
  </w:style>
  <w:style w:type="character" w:customStyle="1" w:styleId="others1">
    <w:name w:val="others1"/>
    <w:basedOn w:val="a0"/>
    <w:rsid w:val="00013EFB"/>
  </w:style>
  <w:style w:type="character" w:customStyle="1" w:styleId="fio14">
    <w:name w:val="fio14"/>
    <w:basedOn w:val="a0"/>
    <w:rsid w:val="00013EFB"/>
  </w:style>
  <w:style w:type="character" w:customStyle="1" w:styleId="others3">
    <w:name w:val="others3"/>
    <w:basedOn w:val="a0"/>
    <w:rsid w:val="00013EFB"/>
  </w:style>
  <w:style w:type="character" w:customStyle="1" w:styleId="others4">
    <w:name w:val="others4"/>
    <w:basedOn w:val="a0"/>
    <w:rsid w:val="00013EFB"/>
  </w:style>
  <w:style w:type="character" w:customStyle="1" w:styleId="others5">
    <w:name w:val="others5"/>
    <w:basedOn w:val="a0"/>
    <w:rsid w:val="00013EFB"/>
  </w:style>
  <w:style w:type="character" w:customStyle="1" w:styleId="others6">
    <w:name w:val="others6"/>
    <w:basedOn w:val="a0"/>
    <w:rsid w:val="00013EFB"/>
  </w:style>
  <w:style w:type="character" w:customStyle="1" w:styleId="others8">
    <w:name w:val="others8"/>
    <w:basedOn w:val="a0"/>
    <w:rsid w:val="00013EFB"/>
  </w:style>
  <w:style w:type="character" w:customStyle="1" w:styleId="others9">
    <w:name w:val="others9"/>
    <w:basedOn w:val="a0"/>
    <w:rsid w:val="00013EFB"/>
  </w:style>
  <w:style w:type="character" w:customStyle="1" w:styleId="others10">
    <w:name w:val="others10"/>
    <w:basedOn w:val="a0"/>
    <w:rsid w:val="00013EFB"/>
  </w:style>
  <w:style w:type="character" w:customStyle="1" w:styleId="others11">
    <w:name w:val="others11"/>
    <w:basedOn w:val="a0"/>
    <w:rsid w:val="00013EFB"/>
  </w:style>
  <w:style w:type="paragraph" w:styleId="a4">
    <w:name w:val="Body Text"/>
    <w:basedOn w:val="a"/>
    <w:link w:val="a5"/>
    <w:rsid w:val="00A102E0"/>
    <w:pPr>
      <w:overflowPunct w:val="0"/>
      <w:autoSpaceDE w:val="0"/>
      <w:autoSpaceDN w:val="0"/>
      <w:adjustRightInd w:val="0"/>
      <w:spacing w:after="0" w:line="240" w:lineRule="auto"/>
      <w:ind w:right="-76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5">
    <w:name w:val="Основной текст Знак"/>
    <w:link w:val="a4"/>
    <w:rsid w:val="00A102E0"/>
    <w:rPr>
      <w:rFonts w:ascii="Times New Roman" w:eastAsia="Times New Roman" w:hAnsi="Times New Roman"/>
      <w:sz w:val="24"/>
    </w:rPr>
  </w:style>
  <w:style w:type="character" w:styleId="a6">
    <w:name w:val="Hyperlink"/>
    <w:uiPriority w:val="99"/>
    <w:unhideWhenUsed/>
    <w:rsid w:val="008E3576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5368FC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snippetequal">
    <w:name w:val="snippet_equal"/>
    <w:rsid w:val="005368FC"/>
  </w:style>
  <w:style w:type="paragraph" w:styleId="a7">
    <w:name w:val="Balloon Text"/>
    <w:basedOn w:val="a"/>
    <w:semiHidden/>
    <w:rsid w:val="002E5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4253</Words>
  <Characters>24245</Characters>
  <Application>Microsoft Office Word</Application>
  <DocSecurity>0</DocSecurity>
  <Lines>202</Lines>
  <Paragraphs>56</Paragraphs>
  <ScaleCrop>false</ScaleCrop>
  <Company/>
  <LinksUpToDate>false</LinksUpToDate>
  <CharactersWithSpaces>28442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