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widowControl w:val="0"/>
        <w:spacing w:before="0" w:after="0"/>
        <w:ind w:left="2832" w:firstLine="708"/>
        <w:jc w:val="right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УИД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77RS0004-02-2021-007659-41</w:t>
      </w:r>
    </w:p>
    <w:p>
      <w:pPr>
        <w:widowControl w:val="0"/>
        <w:spacing w:before="0" w:after="0"/>
        <w:ind w:left="2832" w:firstLine="708"/>
        <w:jc w:val="right"/>
        <w:rPr>
          <w:sz w:val="25"/>
          <w:szCs w:val="25"/>
        </w:rPr>
      </w:pPr>
    </w:p>
    <w:p>
      <w:pPr>
        <w:widowControl w:val="0"/>
        <w:spacing w:before="0" w:after="0"/>
        <w:ind w:left="2832" w:firstLine="708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РЕШЕНИЕ</w:t>
      </w:r>
    </w:p>
    <w:p>
      <w:pPr>
        <w:widowControl w:val="0"/>
        <w:spacing w:before="0" w:after="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ИМЕНЕМ РОССИЙСКОЙ ФЕДЕРАЦИИ</w:t>
      </w:r>
    </w:p>
    <w:p>
      <w:pPr>
        <w:widowControl w:val="0"/>
        <w:spacing w:before="0" w:after="0"/>
        <w:jc w:val="both"/>
        <w:rPr>
          <w:sz w:val="25"/>
          <w:szCs w:val="25"/>
        </w:rPr>
      </w:pPr>
    </w:p>
    <w:p>
      <w:pPr>
        <w:widowControl w:val="0"/>
        <w:spacing w:before="0" w:after="0"/>
        <w:jc w:val="both"/>
        <w:rPr>
          <w:rStyle w:val="DefaultParagraphFont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Style w:val="cat-Addressgrp-0rplc-0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Style w:val="DefaultParagraphFont"/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Style w:val="DefaultParagraphFont"/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 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11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.11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.2021.</w:t>
      </w:r>
    </w:p>
    <w:p>
      <w:pPr>
        <w:widowControl w:val="0"/>
        <w:spacing w:before="0" w:after="0"/>
        <w:ind w:firstLine="708"/>
        <w:jc w:val="both"/>
        <w:rPr>
          <w:sz w:val="25"/>
          <w:szCs w:val="25"/>
        </w:rPr>
      </w:pPr>
    </w:p>
    <w:p>
      <w:pPr>
        <w:widowControl w:val="0"/>
        <w:spacing w:before="0" w:after="0"/>
        <w:ind w:firstLine="708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Гагаринский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районный суд </w:t>
      </w:r>
      <w:r>
        <w:rPr>
          <w:rStyle w:val="cat-Addressgrp-1rplc-1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 составе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председательствующего судьи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Голубковой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А.А.,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секретаре </w:t>
      </w:r>
      <w:r>
        <w:rPr>
          <w:rStyle w:val="cat-FIOgrp-6rplc-3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рассмотрев в открытом судебном зас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едании гражданское дело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№ 2-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4339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/21 по иску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Воронова Андрея Николаевича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 ПАО «Сбербанк» о признании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кредитного договора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недействительным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применении последствий недействительности сделки,</w:t>
      </w:r>
    </w:p>
    <w:p>
      <w:pPr>
        <w:widowControl w:val="0"/>
        <w:spacing w:before="0" w:after="0"/>
        <w:ind w:firstLine="708"/>
        <w:jc w:val="both"/>
        <w:rPr>
          <w:sz w:val="25"/>
          <w:szCs w:val="25"/>
        </w:rPr>
      </w:pPr>
    </w:p>
    <w:p>
      <w:pPr>
        <w:widowControl w:val="0"/>
        <w:spacing w:before="0" w:after="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УСТАНОВИЛ:</w:t>
      </w:r>
    </w:p>
    <w:p>
      <w:pPr>
        <w:widowControl w:val="0"/>
        <w:spacing w:before="0" w:after="0"/>
        <w:jc w:val="both"/>
        <w:rPr>
          <w:sz w:val="25"/>
          <w:szCs w:val="25"/>
        </w:rPr>
      </w:pP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стец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обрати</w:t>
      </w:r>
      <w:r>
        <w:rPr>
          <w:rFonts w:ascii="Times New Roman" w:eastAsia="Times New Roman" w:hAnsi="Times New Roman" w:cs="Times New Roman"/>
          <w:highlight w:val="none"/>
        </w:rPr>
        <w:t>л</w:t>
      </w:r>
      <w:r>
        <w:rPr>
          <w:rFonts w:ascii="Times New Roman" w:eastAsia="Times New Roman" w:hAnsi="Times New Roman" w:cs="Times New Roman"/>
          <w:highlight w:val="none"/>
        </w:rPr>
        <w:t>ся</w:t>
      </w:r>
      <w:r>
        <w:rPr>
          <w:rFonts w:ascii="Times New Roman" w:eastAsia="Times New Roman" w:hAnsi="Times New Roman" w:cs="Times New Roman"/>
          <w:highlight w:val="none"/>
        </w:rPr>
        <w:t xml:space="preserve"> в суд с иском к ответчику ПАО «Сбербанк»</w:t>
      </w:r>
      <w:r>
        <w:rPr>
          <w:rFonts w:ascii="Times New Roman" w:eastAsia="Times New Roman" w:hAnsi="Times New Roman" w:cs="Times New Roman"/>
          <w:highlight w:val="none"/>
        </w:rPr>
        <w:t xml:space="preserve">, просит: 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-</w:t>
      </w:r>
      <w:r>
        <w:rPr>
          <w:rFonts w:ascii="Times New Roman" w:eastAsia="Times New Roman" w:hAnsi="Times New Roman" w:cs="Times New Roman"/>
          <w:highlight w:val="none"/>
        </w:rPr>
        <w:t>Признать недействительным (ничтожным) кредитный договор №636629 от 30.05.2021, оформленный от имени Воронова Андре</w:t>
      </w:r>
      <w:r>
        <w:rPr>
          <w:rFonts w:ascii="Times New Roman" w:eastAsia="Times New Roman" w:hAnsi="Times New Roman" w:cs="Times New Roman"/>
          <w:highlight w:val="none"/>
        </w:rPr>
        <w:t>я Николаевича с ПАО «Сбербанк»</w:t>
      </w:r>
      <w:r>
        <w:rPr>
          <w:rFonts w:ascii="Times New Roman" w:eastAsia="Times New Roman" w:hAnsi="Times New Roman" w:cs="Times New Roman"/>
          <w:highlight w:val="none"/>
        </w:rPr>
        <w:t>;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-</w:t>
      </w:r>
      <w:r>
        <w:rPr>
          <w:rFonts w:ascii="Times New Roman" w:eastAsia="Times New Roman" w:hAnsi="Times New Roman" w:cs="Times New Roman"/>
          <w:highlight w:val="none"/>
        </w:rPr>
        <w:t>Применить последствия недействительности (ничтожности) кредитного договора в виде обязательства ответчика исключения информации из НБКИ по кредитной сделке №636629 от 30.05.2021, оформленный от имени Воронова Андрея Николаевича с ПАО «Сбербанк».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widowControl w:val="0"/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Требования мотивированы тем, что </w:t>
      </w:r>
      <w:r>
        <w:rPr>
          <w:rFonts w:ascii="Times New Roman" w:eastAsia="Times New Roman" w:hAnsi="Times New Roman" w:cs="Times New Roman"/>
          <w:highlight w:val="none"/>
        </w:rPr>
        <w:t>30.05.2021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от имени истца был заключен кредитный договор №636629 с </w:t>
      </w:r>
      <w:r>
        <w:rPr>
          <w:rFonts w:ascii="Times New Roman" w:eastAsia="Times New Roman" w:hAnsi="Times New Roman" w:cs="Times New Roman"/>
          <w:highlight w:val="none"/>
        </w:rPr>
        <w:t xml:space="preserve">ПАО «Сбербанк» на сумму </w:t>
      </w:r>
      <w:r>
        <w:rPr>
          <w:rStyle w:val="cat-Sumgrp-10rplc-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взиманием</w:t>
      </w:r>
      <w:r>
        <w:rPr>
          <w:rFonts w:ascii="Times New Roman" w:eastAsia="Times New Roman" w:hAnsi="Times New Roman" w:cs="Times New Roman"/>
          <w:highlight w:val="none"/>
        </w:rPr>
        <w:t xml:space="preserve"> процентов 14,90% годовых сроком на 60 месяцев. Указанный кредитный договор истец не подписывал, денежных средств не получал. О выдаче кредита на имя истца последнему стало известно </w:t>
      </w:r>
      <w:r>
        <w:rPr>
          <w:rFonts w:ascii="Times New Roman" w:eastAsia="Times New Roman" w:hAnsi="Times New Roman" w:cs="Times New Roman"/>
          <w:highlight w:val="none"/>
        </w:rPr>
        <w:t>03.06.2021</w:t>
      </w:r>
      <w:r>
        <w:rPr>
          <w:rFonts w:ascii="Times New Roman" w:eastAsia="Times New Roman" w:hAnsi="Times New Roman" w:cs="Times New Roman"/>
          <w:highlight w:val="none"/>
        </w:rPr>
        <w:t xml:space="preserve">. Истец указанный кредитный договор №636629 с ПАО «Сбербанк»» не заключал и не подписывал. Находясь </w:t>
      </w:r>
      <w:r>
        <w:rPr>
          <w:rFonts w:ascii="Times New Roman" w:eastAsia="Times New Roman" w:hAnsi="Times New Roman" w:cs="Times New Roman"/>
          <w:highlight w:val="none"/>
        </w:rPr>
        <w:t>в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Addressgrp-2rplc-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 в период времени с вечера 29.05.2021 по 06 часов 00 минут 30.05.2021, неизвестное лицо совершило хищение мобильного телефона</w:t>
      </w:r>
      <w:r>
        <w:rPr>
          <w:rFonts w:ascii="Times New Roman" w:eastAsia="Times New Roman" w:hAnsi="Times New Roman" w:cs="Times New Roman"/>
          <w:highlight w:val="none"/>
        </w:rPr>
        <w:t xml:space="preserve"> истца</w:t>
      </w:r>
      <w:r>
        <w:rPr>
          <w:rFonts w:ascii="Times New Roman" w:eastAsia="Times New Roman" w:hAnsi="Times New Roman" w:cs="Times New Roman"/>
          <w:highlight w:val="none"/>
        </w:rPr>
        <w:t>, а так же аксессуары к нему, после чего, используя похищенный мобильный телефон, через мобильное приложение оформило денежный кредит на имя</w:t>
      </w:r>
      <w:r>
        <w:rPr>
          <w:rFonts w:ascii="Times New Roman" w:eastAsia="Times New Roman" w:hAnsi="Times New Roman" w:cs="Times New Roman"/>
          <w:highlight w:val="none"/>
        </w:rPr>
        <w:t xml:space="preserve"> истца, в сумме </w:t>
      </w:r>
      <w:r>
        <w:rPr>
          <w:rStyle w:val="cat-Sumgrp-11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ПАО «Сбербанк» отказал истцу в удовлетворении требований </w:t>
      </w:r>
      <w:r>
        <w:rPr>
          <w:rFonts w:ascii="Times New Roman" w:eastAsia="Times New Roman" w:hAnsi="Times New Roman" w:cs="Times New Roman"/>
          <w:highlight w:val="none"/>
        </w:rPr>
        <w:t>о возврате денежных средств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widowControl w:val="0"/>
        <w:spacing w:before="0" w:after="0"/>
        <w:ind w:firstLine="709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Истец в судебно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заседани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заявленные требования поддержал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widowControl w:val="0"/>
        <w:spacing w:before="0" w:after="0"/>
        <w:ind w:firstLine="708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Представитель ответчика в судебно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заседани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 просил в удовлетворении заявленных требований отказать.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</w:p>
    <w:p>
      <w:pPr>
        <w:widowControl w:val="0"/>
        <w:spacing w:before="0" w:after="0"/>
        <w:jc w:val="both"/>
        <w:rPr>
          <w:sz w:val="25"/>
          <w:szCs w:val="25"/>
        </w:rPr>
      </w:pPr>
      <w:r>
        <w:rPr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сследовав материалы дела,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выслушав стороны,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приходит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к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выводу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об отказе 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удовлетворении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исковых требований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исходя из следующего. </w:t>
      </w:r>
    </w:p>
    <w:p>
      <w:pPr>
        <w:widowControl w:val="0"/>
        <w:spacing w:before="0" w:after="0"/>
        <w:ind w:firstLine="708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судебном заседании установлено, что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между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Вороновым А.Н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 ПАО Сбербанк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30.03.2018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заключен договор на банковское обслуживание, в рамках которого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открыт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счет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 выпущена карта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Master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Card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Standart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№ ****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3744 (№ счета 40817810967400927081)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widowControl w:val="0"/>
        <w:spacing w:before="0" w:after="0"/>
        <w:ind w:firstLine="708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Истец в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з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аявлении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на банковское обслуживание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подтвердил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факт получения условий использования банковск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карт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ы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 памятку держателя, а также подтвердил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свое согласие с указанными документами и обязал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ась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их выполнять.</w:t>
      </w:r>
    </w:p>
    <w:p>
      <w:pPr>
        <w:widowControl w:val="0"/>
        <w:spacing w:before="0" w:after="0"/>
        <w:ind w:firstLine="708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Отношения между сторонами регулируются Условиями банковского обслуживания (далее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-У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словия ДБО). Условиями выпуска и обслуживания дебетовой карты ПАО Сбербанк (далее - Условия по дебетовым картам), Общими условиями выпуска и обслуживания кредитной карты ПАО Сбербанк (далее - Общие условия).</w:t>
      </w:r>
    </w:p>
    <w:p>
      <w:pPr>
        <w:widowControl w:val="0"/>
        <w:spacing w:before="0" w:after="0"/>
        <w:ind w:firstLine="708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Как следует из заявлений на получение банковских карт, истец подтвердил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свое согласие с Условиями банковского обслуживания. Условиями выпуска и обслуживания дебетовой карты. Памяткой Держателя карт ПАО Сбербанк, Общими условиями выпуска и обслуживания кредитной карты ПАО Сбербанк, Памяткой держателя, Памяткой по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безопасности при использовании карт и Тарифами ПАО Сбербанк и обязал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ась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их выполнять.</w:t>
      </w:r>
    </w:p>
    <w:p>
      <w:pPr>
        <w:widowControl w:val="0"/>
        <w:spacing w:before="0" w:after="0"/>
        <w:ind w:firstLine="708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соответствии со ст. 845 ГК РФ, по договору банковского счета (разновидностью которого является договор о выпуске и обслуживании банковской карты, которая, по сути, является лишь средством для управления банковским счетом и в отрыве от него рассматриваться не может)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соответствующих сумм со счета 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проведении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других операций по счету, Банк не вправе определять и контролировать направления использования денежных средств клиента и устанавливать другие,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>
      <w:pPr>
        <w:widowControl w:val="0"/>
        <w:spacing w:before="0" w:after="0"/>
        <w:ind w:firstLine="708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Согласно п. 2 ст. 849 ГК РФ установлено, что банк обязан по распоряжению клиента выдавать или перечислять со счета денежные средства клиента не позже дня, следующего за днем поступления в банк соответствующего платежного документа, если иные сроки не предусмотрены законом, изданными в соответствии с ним банковскими правилами или договором банковского счета.</w:t>
      </w:r>
    </w:p>
    <w:p>
      <w:pPr>
        <w:widowControl w:val="0"/>
        <w:spacing w:before="0" w:after="0"/>
        <w:ind w:firstLine="708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Списание денежных средств со счета осуществляется Банком на основании распоряжения клиента (п. I ст. 854 ГК РФ). </w:t>
      </w:r>
    </w:p>
    <w:p>
      <w:pPr>
        <w:widowControl w:val="0"/>
        <w:spacing w:before="0" w:after="0"/>
        <w:ind w:firstLine="708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Действие ДБО распространяется на Счета Карт, открытые как до, так и после заключения ДБО, а также на вклады, обезличенные металлические счета, номинальные счета для зачисления социальных выплат, услуги предоставления в аренду индивидуального банковского сейфа и иные продукты, предусмотренные ДБО, открываемые/предоставляемые Клиенту в рамках ДБО (п. 1.9 Условий ДБО).</w:t>
      </w:r>
    </w:p>
    <w:p>
      <w:pPr>
        <w:widowControl w:val="0"/>
        <w:spacing w:before="0" w:after="0"/>
        <w:ind w:firstLine="708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рамках комплексного обслуживания Банк предоставляет Клиенту возможность получать в Подразделениях Банка и/или через </w:t>
      </w:r>
      <w:r>
        <w:rPr>
          <w:rStyle w:val="cat-Addressgrp-3rplc-11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обслуживания банковские продукты и пользоваться услугами, информация о которых размещена на Официальном сайте Банка и/или в Подразделениях Банка, при условии прохождения успешной Идентификации и Аутентификации Клиента (если иное не определено ДБО) (п. 1.5 Условий ДБО).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"consultantplus://offline/ref=5807E977381581413E6A8CB3A5EA27C24C6ED49E692E26B6890BD97536C183464C12FA09A2EFAB726611F55A43DB01280CCF0E4B411EDC2Ad8VAI"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п. 1 ст. 160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ГК РФ, сделка в письменной форме должна быть совершена путем составления документа, выражающего ее содержание и подписанного лицом или лицами, совершающими сделку, или должным образом уполномоченными ими лицами.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"consultantplus://offline/ref=5807E977381581413E6A8CB3A5EA27C24C6ED49E692E26B6890BD97536C183464C12FA09A2EFAB716711F55A43DB01280CCF0E4B411EDC2Ad8VAI"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ст. 162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ГК РФ 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показания, но не лишает их права приводить письменные и другие доказательства.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 случаях, прямо указанных в законе или в соглашении сторон, несоблюдение простой письменной формы сделки влечет ее недействительность.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силу ст. 168 ГК РФ за исключением случаев, предусмотренных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"consultantplus://offline/ref=5807E977381581413E6A8CB3A5EA27C24C6ED49E692E26B6890BD97536C183464C12FA0BA4E6A927315EF406068F12280CCF0D4A5Dd1VCI"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пунктом 2 настоящей статьи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или иным законом, сделка, нарушающая требования закона или иного правового акта, является оспоримой, если из закона не следует, что должны применяться другие последствия нарушения, не связанные с недействительностью сделки.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Сделка, нарушающая требования закона или иного правового акта и при этом посягающая на публичные интересы либо права и охраняемые законом интересы третьих лиц, ничтожна, если из закона не следует, что такая сделка оспорима или должны применяться другие последствия нарушения, не связанные с недействительностью сделки.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"consultantplus://offline/ref=5807E977381581413E6A8CB3A5EA27C24C6DD092662826B6890BD97536C183464C12FA09A2EEA6706811F55A43DB01280CCF0E4B411EDC2Ad8VAI"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ст. 807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ГК РФ по договору займа одна сторона (заимодавец)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заимодавцу такую же сумму денег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(сумму займа) или равное количество других полученных им вещей того же рода и качества.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"consultantplus://offline/ref=5807E977381581413E6A8CB3A5EA27C24C6DD092662826B6890BD97536C183464C12FA09A2EEA6776211F55A43DB01280CCF0E4B411EDC2Ad8VAI"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ст. 808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ГК РФ договор займа между гражданами должен быть заключен в письменной форме, если его сумма превышает не менее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чем в десять раз установленной законом минимальный размер оплаты труда. В подтверждение договора займа и его условий может быть представлена расписка заемщика или иной документ, удостоверяющий передачу ему заимодавцем определенной денежной суммы или определенного количества вещей.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"consultantplus://offline/ref=5807E977381581413E6A8CB3A5EA27C24C6DD092662826B6890BD97536C183464C12FA09A2EEA6776511F55A43DB01280CCF0E4B411EDC2Ad8VAI"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ст. 809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ГК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РФ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силу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"consultantplus://offline/ref=5807E977381581413E6A8CB3A5EA27C24C6DD092662826B6890BD97536C183464C12FA09A2EEA6766111F55A43DB01280CCF0E4B411EDC2Ad8VAI"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ст. 810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ГК РФ заемщик обязан возвратить заимодавцу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"consultantplus://offline/ref=5807E977381581413E6A8CB3A5EA27C24C6DD092662826B6890BD97536C183464C12FA09A2EEA6766711F55A43DB01280CCF0E4B411EDC2Ad8VAI"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ст. 811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ГК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РФ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если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"consultantplus://offline/ref=5807E977381581413E6A8CB3A5EA27C24C6ED49E692E26B6890BD97536C183464C12FA09A2E6A17B6B4EF04F52830D2813D00E545D1CDEd2V8I"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п. 1 ст. 395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ГК РФ, со дня, когда она должна быть возвращена, до дня ее возврата заимодавцу независимо от уплаты процентов, предусмотренных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"consultantplus://offline/ref=5807E977381581413E6A8CB3A5EA27C24C6DD092662826B6890BD97536C183464C12FA09A2EEA6776611F55A43DB01280CCF0E4B411EDC2Ad8VAI"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п. 1 ст. 809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ГК РФ.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"consultantplus://offline/ref=5807E977381581413E6A8CB3A5EA27C24C6DD092662826B6890BD97536C183464C12FA09A2EEA67B6711F55A43DB01280CCF0E4B411EDC2Ad8VAI"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п. 1 ст. 819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Согласно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"consultantplus://offline/ref=5807E977381581413E6A8CB3A5EA27C24C6DD092662826B6890BD97536C183464C12FA09A2EEA4706211F55A43DB01280CCF0E4B411EDC2Ad8VAI"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п.1 ст. 854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ГК РФ списание денежных средств со счета осуществляется банком на основании распоряжения клиента.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силу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"consultantplus://offline/ref=5807E977381581413E6A8CB3A5EA27C24C6DD092662826B6890BD97536C183464C12FA09A2EEA4726211F55A43DB01280CCF0E4B411EDC2Ad8VAI"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пункта 3 статьи 847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"consultantplus://offline/ref=5807E977381581413E6A8CB3A5EA27C24C6ED49E692E26B6890BD97536C183464C12FA09AAE8A927315EF406068F12280CCF0D4A5Dd1VCI"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пункт 2 статьи 160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Гражданского кодекса Российской Федерации), кодов, паролей и иных средств, подтверждающих, что распоряжение дано уполномоченным на это лицом.</w:t>
      </w:r>
    </w:p>
    <w:p>
      <w:pPr>
        <w:widowControl w:val="0"/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соответствии с п. 1.1. Условий использования банковских карт настоящие условия в совокупности с памяткой держателя карт ПАО Сбербанк, памяткой по безопасности при использовании карт, заявлением на получение карты, надлежащим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образом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заполненным и подписанным клиентом, альбомом тарифов на услуги, предоставляемые ПАО Сбербанк физическим лицам являются заключенным между клиентом и ПАО Сбербанк договором о выпуске и обслуживании банковских карт.</w:t>
      </w:r>
    </w:p>
    <w:p>
      <w:pPr>
        <w:widowControl w:val="0"/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>30.05.2021 Истцом в системе «Сбербанк Онлайн» подана заявка на оформление виртуальной дебетовой карты МИР № 220220***4680 (№ счета карты 40817810967400927081) с услугой Мобильный банк. Данная заявка была одобрена Банком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17.09.2018 истец в отделении Банка просил подключить к его номеру телефона </w:t>
      </w:r>
      <w:r>
        <w:rPr>
          <w:rStyle w:val="cat-PhoneNumbergrp-14rplc-12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 услугу «Мобильный банк» к карте № 546967***3744, что подтверждается заявлением о подключении от 17.09.2018 и СМС-сообщением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3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17.01.2020 истец самостоятельно в мобильном приложении для мобильного устройства для </w:t>
      </w:r>
      <w:r>
        <w:rPr>
          <w:rFonts w:ascii="Times New Roman" w:eastAsia="Times New Roman" w:hAnsi="Times New Roman" w:cs="Times New Roman"/>
          <w:highlight w:val="none"/>
        </w:rPr>
        <w:t>Android</w:t>
      </w:r>
      <w:r>
        <w:rPr>
          <w:rFonts w:ascii="Times New Roman" w:eastAsia="Times New Roman" w:hAnsi="Times New Roman" w:cs="Times New Roman"/>
          <w:highlight w:val="none"/>
        </w:rPr>
        <w:t xml:space="preserve"> осуществил удаленную регистрацию в системе «Сбербанк Онлайн» по номеру телефона </w:t>
      </w:r>
      <w:r>
        <w:rPr>
          <w:rStyle w:val="cat-PhoneNumbergrp-14rplc-13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>, подключённому к услуге «Мобильный банк», получил в СМС-сообщении пароль для регистрации в системе «Сбербанк-Онлайн», Истцом использована карта № 546967***3744 и верно введен пароль для входа в систему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 использованием карты истец получил возможность совершать определенные договором банковского обслуживания операции по своим счетам карт и другим продуктам банка через удаленные каналы обслуживания.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30.05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.2021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осуществлен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вход в автоматизированную защищенную Систему «Сбербанк Онлайн». В дальнейшем была подана заявка на оформление по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требительского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кредита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на принадлежащий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истцу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номер телефона пришло соответствующее смс-уведомление с кодом подтверждения заявки. Истец ввел данный код, чем подтвердил заявку.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последующем на принадлежащий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Воронову А.Н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номер телефона пришло соответствующее смс-уведомление с кодом подтверждения, который необходимо было ввести для подтверждения заключения кредитного договора. Истец ввел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данный код, чем подтвердил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заключение договора №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636629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30.05.2021 в 03:50 Истцом в системе «Сбербанк Онлайн» была оформлена заявка на виртуальную дебетовую карту МИР № 220220***4680, которая одобрена Банком, карта активирована в 03:50.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выписке из журнала СМС-сообщений в системе «Мобильный банк» 30.05.2021 в 05:00 заемщику поступило сообщение с предложением подтвердить акцепт оферты на </w:t>
      </w:r>
      <w:r>
        <w:rPr>
          <w:rFonts w:ascii="Times New Roman" w:eastAsia="Times New Roman" w:hAnsi="Times New Roman" w:cs="Times New Roman"/>
          <w:highlight w:val="none"/>
        </w:rPr>
        <w:t>кредит</w:t>
      </w:r>
      <w:r>
        <w:rPr>
          <w:rFonts w:ascii="Times New Roman" w:eastAsia="Times New Roman" w:hAnsi="Times New Roman" w:cs="Times New Roman"/>
          <w:highlight w:val="none"/>
        </w:rPr>
        <w:t xml:space="preserve"> и указаны сумма, срок кредита, итоговая процентная ставка, указание на выбор услуги подключения программы страхования стоимостью </w:t>
      </w:r>
      <w:r>
        <w:rPr>
          <w:rStyle w:val="cat-Sumgrp-12rplc-1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пароль для подтверждения. 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Пароль подтверждения был корректно введен в интерфейс системы «Сбербанк-Онлайн», так Индивидуальные условия, а также заявление на страхование по программе защиты жизни и здоровья заемщика были подписаны Клиентом простой электронной подписью.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енежные средства в размере </w:t>
      </w:r>
      <w:r>
        <w:rPr>
          <w:rStyle w:val="cat-Sumgrp-13rplc-16"/>
          <w:rFonts w:ascii="Times New Roman" w:eastAsia="Times New Roman" w:hAnsi="Times New Roman" w:cs="Times New Roman"/>
          <w:sz w:val="25"/>
          <w:szCs w:val="25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были зачислены на счет банковской карты истца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МИР № 220220***4680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(п. 17 индивидуальных условий кредитования)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в подтверждение чего также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было направлено смс-сообщение, после чего по банковской карте проведены расходные операции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. 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Обстоятельства обращения истца к ответчику через Систему «Сбербанк Онлайн» и направления проверочных смс-сообщений, содержащих в себе информацию о кредит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 одноразовые цифровые пароли, подтверждаются распечаткой смс-сообщений с номера 900 на номер мобильного телефона истца, журналом регистрации входов в «Сбербанк Онлайн», протоколом проведения операций в автоматизированной Системе «Сбербанк Онлайн».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соответствии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"consultantplus://offline/ref=081C238F0E71DB6FA3DB33F94217164890DAA809C7CAE5D21C6D0EEF43E9083A271F75B26AE14A8961B31EF43F20D03E1AA8F7F00F4AA96Cf97BI"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ст. ст. 56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"consultantplus://offline/ref=081C238F0E71DB6FA3DB33F94217164890DAA809C7CAE5D21C6D0EEF43E9083A271F75B26AE14A8863B31EF43F20D03E1AA8F7F00F4AA96Cf97BI"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59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"consultantplus://offline/ref=081C238F0E71DB6FA3DB33F94217164890DAA809C7CAE5D21C6D0EEF43E9083A271F75B26AE14A8865B31EF43F20D03E1AA8F7F00F4AA96Cf97BI"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60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"consultantplus://offline/ref=081C238F0E71DB6FA3DB33F94217164890DAA809C7CAE5D21C6D0EEF43E9083A271F75B26AE14A8666B31EF43F20D03E1AA8F7F00F4AA96Cf97BI"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67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ГПК РФ каждая сторона обязана доказать те обстоятельства, на которые она ссылается как на основания своих требований и возражений, если иное не предусмотрено федеральным законом. Суд принимает только те доказательства, которые имеют значение для рассмотрения и разрешения дела. Обстоятельства дела, которые в соответствии с законом должны быть подтверждены определенными средствами доказывания, не могут подтверждаться никакими другими доказательствами. Суд оценивает доказательства по своему внутреннему убеждению, основанному на всестороннем, полно, объективном и непосредственном исследовании имеющихся в деле доказательств. Никакие доказательства не имеют для суда заранее установленной силы. Суд оценивает относимость, допустимость, достоверность каждого доказательств в отдельности, а также достаточность и взаимную связь доказательств в их совокупности.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Отказывая в удовлетворении заявленных требований, суд исходи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из того, что сторонами были согласованы все существенные условия кредитного договора, при этом истцом в нарушение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"consultantplus://offline/ref=A947A037382034695EEA2595B2CCF06804DDB6FD3EF43FE6427CE00BB1B7E3587E47B6DEEBD264B3D481D57500669687C8DACEAE24FDE7FFN8ACJ"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ч. 1 ст. 56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ГПК РФ не предоставлено достоверных и допустимых доказательств в обоснование заявленных требований. 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есоблюдени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письменной формы договора, который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истец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не подписывал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не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свидетельств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ует о недействительности сделки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 Как следует из Условий банковского обслуживания физических лиц ПАО Сбербанк, смс-код является аналогом собственноручной подписи, в связи с чем то обстоятельство, что истец самостоятельно вводил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смс-коды в системе «Сбербанк Онлайн», знал 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расходных операциях после получения кредитных денежных средств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на что выражал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согласие.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Доводы истца о том, что он кредитный договор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был заключен в результате мошеннических действий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несостоятельны. При установленных обстоятельствах, изъявления </w:t>
      </w:r>
      <w:r>
        <w:rPr>
          <w:rStyle w:val="cat-FIOgrp-8rplc-17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воли на предоставление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ему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денежных средств,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заинтересованности в получении денежных средств 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совершении расходных операций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в отсутствие приговора в отношении третьего лица по факту мошеннических действий в отношении </w:t>
      </w:r>
      <w:r>
        <w:rPr>
          <w:rStyle w:val="cat-FIOgrp-8rplc-18"/>
          <w:rFonts w:ascii="Times New Roman" w:eastAsia="Times New Roman" w:hAnsi="Times New Roman" w:cs="Times New Roman"/>
          <w:sz w:val="25"/>
          <w:szCs w:val="25"/>
          <w:highlight w:val="none"/>
        </w:rPr>
        <w:t>фио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у суда не имеется правовых оснований для признания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договора незаключенным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Как не представлено доказательств и не установлено при рассмотрении дела, что распространении персональных данных истца сотрудниками банка привели к совершению в отношении истца мошеннических действий со стороны третьих лиц.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Причинно-следственной связи между противоправными действиями сотрудников банка и убытками истца в результате оформления кредитного договора, не установлено.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силу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"consultantplus://offline/ref=F73B84BEBC24049997C6E8BAB2588E20B924F6F797AB00DC4E8B20F96A6FCCAEDC4667FB099F7B488695B105EC1E1F9D624BC2DC2C5E09E7e842I"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ст. ст. 309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"consultantplus://offline/ref=F73B84BEBC24049997C6E8BAB2588E20B924F6F797AB00DC4E8B20F96A6FCCAEDC4667FB099B7F4F8DCAB410FD46139D7D54C2C3305C0BeE45I"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310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ГК РФ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>
      <w:pPr>
        <w:spacing w:before="0" w:after="0"/>
        <w:ind w:firstLine="54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В силу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"consultantplus://offline/ref=59FC60763095C7F382070D4BC495C9613F02D520F643C3AA24EB4DA9B7E2D26E7575625724D61C91D3V0M"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п.1 ст.450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ГК РФ предусмотрено, изменение и расторжение договора возможны по соглашению сторон, если иное не предусмотрено настоящим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"consultantplus://offline/ref=4163BEC0E17CC66607748419BD2E59B6116E0343F07A49A111867B2769l6y0I"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Кодексом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другими законами или договором. По требованию одной из сторон договор может быть изменен или расторгнут по решению суда только: при существенном нарушении другой стороной; в иных случаях, предусмотренных настоящим </w: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begin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instrText xml:space="preserve"> HYPERLINK "consultantplus://offline/ref=4163BEC0E17CC66607748419BD2E59B6116E0343F07A49A111867B2769l6y0I" </w:instrText>
      </w:r>
      <w:r>
        <w:rPr>
          <w:rFonts w:ascii="Times New Roman" w:eastAsia="Times New Roman" w:hAnsi="Times New Roman" w:cs="Times New Roman"/>
          <w:sz w:val="25"/>
          <w:szCs w:val="25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5"/>
          <w:szCs w:val="25"/>
          <w:highlight w:val="none"/>
        </w:rPr>
        <w:t>Кодексом</w:t>
      </w:r>
      <w:r>
        <w:rPr>
          <w:rFonts w:ascii="Times New Roman" w:eastAsia="Times New Roman" w:hAnsi="Times New Roman" w:cs="Times New Roman"/>
          <w:color w:val="0000EE"/>
          <w:sz w:val="25"/>
          <w:szCs w:val="25"/>
        </w:rPr>
        <w:fldChar w:fldCharType="end"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, другими законами или договором. 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 В случае одностороннего отказа от исполнения договора полностью или частично, когда такой отказ допускается законом или соглашением сторон, договор считается соответственно расторгнутым или измененным.</w:t>
      </w:r>
    </w:p>
    <w:p>
      <w:pPr>
        <w:widowControl w:val="0"/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Предусмотренных действующим законодательством и условиями договора оснований для расторжения кредитного договора №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636629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30.05.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2021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не имеется, в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связи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 чем в удовлетворении требований 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признании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кредитного договора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недействительным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суд отказывает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а как следствие отсутствие оснований для применения последствий недействительности сделки. </w:t>
      </w:r>
    </w:p>
    <w:p>
      <w:pPr>
        <w:spacing w:before="0" w:after="0"/>
        <w:ind w:firstLine="567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изложенного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руководствуясь ст.ст.194-199 ГПК РФ, </w:t>
      </w:r>
    </w:p>
    <w:p>
      <w:pPr>
        <w:spacing w:before="0" w:after="0"/>
        <w:ind w:firstLine="567"/>
        <w:jc w:val="both"/>
        <w:rPr>
          <w:sz w:val="25"/>
          <w:szCs w:val="25"/>
        </w:rPr>
      </w:pPr>
    </w:p>
    <w:p>
      <w:pPr>
        <w:spacing w:before="0" w:after="0"/>
        <w:jc w:val="center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РЕШИЛ:</w:t>
      </w:r>
    </w:p>
    <w:p>
      <w:pPr>
        <w:spacing w:before="0" w:after="0"/>
        <w:rPr>
          <w:sz w:val="25"/>
          <w:szCs w:val="25"/>
        </w:rPr>
      </w:pPr>
    </w:p>
    <w:p>
      <w:pPr>
        <w:spacing w:before="0" w:after="0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В удовлетворении исковых требований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Воронова Андрея Николаевича к ПАО «Сбербанк» о признании кредитного договора недействительным, применении последствий недействительности сделки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- отказать.</w:t>
      </w:r>
    </w:p>
    <w:p>
      <w:pPr>
        <w:spacing w:before="0" w:after="0"/>
        <w:ind w:firstLine="708"/>
        <w:jc w:val="both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Решение может быть обжаловано в Московский городской суд в течение месяца со дня его изготовления в окончательной форме путем подачи апелляционной жалобы через Гагаринский районный суд </w:t>
      </w:r>
      <w:r>
        <w:rPr>
          <w:rStyle w:val="cat-Addressgrp-1rplc-20"/>
          <w:rFonts w:ascii="Times New Roman" w:eastAsia="Times New Roman" w:hAnsi="Times New Roman" w:cs="Times New Roman"/>
          <w:sz w:val="25"/>
          <w:szCs w:val="25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. </w:t>
      </w:r>
    </w:p>
    <w:p>
      <w:pPr>
        <w:spacing w:before="0" w:after="0"/>
        <w:rPr>
          <w:sz w:val="25"/>
          <w:szCs w:val="25"/>
        </w:rPr>
      </w:pPr>
    </w:p>
    <w:p>
      <w:pPr>
        <w:spacing w:before="0" w:after="0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Мотивированное решение изготовлено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18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.11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.2021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.</w:t>
      </w:r>
    </w:p>
    <w:p>
      <w:pPr>
        <w:spacing w:before="0" w:after="0"/>
        <w:rPr>
          <w:sz w:val="25"/>
          <w:szCs w:val="25"/>
        </w:rPr>
      </w:pPr>
    </w:p>
    <w:p>
      <w:pPr>
        <w:spacing w:before="0" w:after="0"/>
        <w:rPr>
          <w:sz w:val="25"/>
          <w:szCs w:val="25"/>
        </w:rPr>
      </w:pPr>
    </w:p>
    <w:p>
      <w:pPr>
        <w:spacing w:before="0" w:after="0"/>
        <w:rPr>
          <w:sz w:val="25"/>
          <w:szCs w:val="25"/>
        </w:rPr>
      </w:pPr>
    </w:p>
    <w:p>
      <w:pPr>
        <w:spacing w:before="0" w:after="0"/>
        <w:rPr>
          <w:sz w:val="25"/>
          <w:szCs w:val="25"/>
        </w:rPr>
      </w:pPr>
    </w:p>
    <w:p>
      <w:pPr>
        <w:spacing w:before="0" w:after="0"/>
        <w:rPr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Судья: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ab/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 xml:space="preserve">А.А. </w:t>
      </w:r>
      <w:r>
        <w:rPr>
          <w:rFonts w:ascii="Times New Roman" w:eastAsia="Times New Roman" w:hAnsi="Times New Roman" w:cs="Times New Roman"/>
          <w:sz w:val="25"/>
          <w:szCs w:val="25"/>
          <w:highlight w:val="none"/>
        </w:rPr>
        <w:t>Голубкова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6rplc-3">
    <w:name w:val="cat-FIO grp-6 rplc-3"/>
    <w:basedOn w:val="DefaultParagraphFont"/>
  </w:style>
  <w:style w:type="character" w:customStyle="1" w:styleId="cat-Sumgrp-10rplc-7">
    <w:name w:val="cat-Sum grp-10 rplc-7"/>
    <w:basedOn w:val="DefaultParagraphFont"/>
  </w:style>
  <w:style w:type="character" w:customStyle="1" w:styleId="cat-Addressgrp-2rplc-8">
    <w:name w:val="cat-Address grp-2 rplc-8"/>
    <w:basedOn w:val="DefaultParagraphFont"/>
  </w:style>
  <w:style w:type="character" w:customStyle="1" w:styleId="cat-Sumgrp-11rplc-9">
    <w:name w:val="cat-Sum grp-11 rplc-9"/>
    <w:basedOn w:val="DefaultParagraphFont"/>
  </w:style>
  <w:style w:type="character" w:customStyle="1" w:styleId="cat-Addressgrp-3rplc-11">
    <w:name w:val="cat-Address grp-3 rplc-11"/>
    <w:basedOn w:val="DefaultParagraphFont"/>
  </w:style>
  <w:style w:type="character" w:customStyle="1" w:styleId="cat-PhoneNumbergrp-14rplc-12">
    <w:name w:val="cat-PhoneNumber grp-14 rplc-12"/>
    <w:basedOn w:val="DefaultParagraphFont"/>
  </w:style>
  <w:style w:type="character" w:customStyle="1" w:styleId="cat-PhoneNumbergrp-14rplc-13">
    <w:name w:val="cat-PhoneNumber grp-14 rplc-13"/>
    <w:basedOn w:val="DefaultParagraphFont"/>
  </w:style>
  <w:style w:type="character" w:customStyle="1" w:styleId="cat-Sumgrp-12rplc-15">
    <w:name w:val="cat-Sum grp-12 rplc-15"/>
    <w:basedOn w:val="DefaultParagraphFont"/>
  </w:style>
  <w:style w:type="character" w:customStyle="1" w:styleId="cat-Sumgrp-13rplc-16">
    <w:name w:val="cat-Sum grp-13 rplc-16"/>
    <w:basedOn w:val="DefaultParagraphFont"/>
  </w:style>
  <w:style w:type="character" w:customStyle="1" w:styleId="cat-FIOgrp-8rplc-17">
    <w:name w:val="cat-FIO grp-8 rplc-17"/>
    <w:basedOn w:val="DefaultParagraphFont"/>
  </w:style>
  <w:style w:type="character" w:customStyle="1" w:styleId="cat-FIOgrp-8rplc-18">
    <w:name w:val="cat-FIO grp-8 rplc-18"/>
    <w:basedOn w:val="DefaultParagraphFont"/>
  </w:style>
  <w:style w:type="character" w:customStyle="1" w:styleId="cat-Addressgrp-1rplc-20">
    <w:name w:val="cat-Address grp-1 rplc-20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