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B4C77D" w14:textId="77777777" w:rsidR="00000000" w:rsidRDefault="00D7428E">
      <w:pPr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Дело №2-4873/2023                                                    УИД 77RS0009-02-2022-002096-88</w:t>
      </w:r>
    </w:p>
    <w:p w14:paraId="3E561287" w14:textId="77777777" w:rsidR="00000000" w:rsidRDefault="00D7428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</w:t>
      </w:r>
    </w:p>
    <w:p w14:paraId="0711924C" w14:textId="77777777" w:rsidR="00000000" w:rsidRDefault="00D7428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14:paraId="48262B80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  </w:t>
      </w:r>
    </w:p>
    <w:p w14:paraId="7B5FA8AF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21  августа 2023  года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1FD743F4" w14:textId="77777777" w:rsidR="00000000" w:rsidRDefault="00D7428E">
      <w:pPr>
        <w:ind w:firstLine="540"/>
        <w:jc w:val="both"/>
        <w:rPr>
          <w:lang w:val="en-BE" w:eastAsia="en-BE" w:bidi="ar-SA"/>
        </w:rPr>
      </w:pPr>
    </w:p>
    <w:p w14:paraId="20569D37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Зюзинский районный суд Мос</w:t>
      </w:r>
      <w:r>
        <w:rPr>
          <w:lang w:val="en-BE" w:eastAsia="en-BE" w:bidi="ar-SA"/>
        </w:rPr>
        <w:t xml:space="preserve">квы в составе председательствующего судьи        Сафьян Е.И., при секретаре </w:t>
      </w:r>
      <w:r>
        <w:rPr>
          <w:rStyle w:val="cat-FIOgrp-8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 рассмотрев в открытом судебном заседании гражданское дело № 2-4873/2023 по иску ПАО Сбербанк в лице филиала - Московского банка ПАО Сбербанк к Постникову Валерию Васильевичу, Б</w:t>
      </w:r>
      <w:r>
        <w:rPr>
          <w:lang w:val="en-BE" w:eastAsia="en-BE" w:bidi="ar-SA"/>
        </w:rPr>
        <w:t xml:space="preserve">уйновской Маргариты Анатольевны в интересах несовершеннолетнего </w:t>
      </w:r>
      <w:r>
        <w:rPr>
          <w:rStyle w:val="cat-FIOgrp-6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взыскание задолженности по кредитному договору из наследственного имущества,   </w:t>
      </w:r>
    </w:p>
    <w:p w14:paraId="35DA1BF3" w14:textId="77777777" w:rsidR="00000000" w:rsidRDefault="00D7428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установил: </w:t>
      </w:r>
    </w:p>
    <w:p w14:paraId="0B6F125F" w14:textId="77777777" w:rsidR="00000000" w:rsidRDefault="00D7428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  </w:t>
      </w:r>
    </w:p>
    <w:p w14:paraId="3F2078DD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Первоначально ПАО Сбербанк в лице филиала - Московского банка ПАО Сбербанк обратилось в суд</w:t>
      </w:r>
      <w:r>
        <w:rPr>
          <w:lang w:val="en-BE" w:eastAsia="en-BE" w:bidi="ar-SA"/>
        </w:rPr>
        <w:t xml:space="preserve"> с иском к наследственному имуществу Постниковой Е.Ю. о взыскании из стоимости наследственного имущества задолженности по эмиссионному контракту. </w:t>
      </w:r>
    </w:p>
    <w:p w14:paraId="5BC99285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обоснование своих требований истец указал, что 17.06.2019 ПАО Сбербанк на основании эмиссионного контракта </w:t>
      </w:r>
      <w:r>
        <w:rPr>
          <w:lang w:val="en-BE" w:eastAsia="en-BE" w:bidi="ar-SA"/>
        </w:rPr>
        <w:t>N 0910-Р-13540757580 выдало заемщику Постниковой Е.Ю. кредитную карту, а заемщик обязался возвратить сумму предоставленных кредитных денежных средств и уплатить проценты. В соответствии с вышеуказанным эмиссионным контрактом банк свои обязательства исполни</w:t>
      </w:r>
      <w:r>
        <w:rPr>
          <w:lang w:val="en-BE" w:eastAsia="en-BE" w:bidi="ar-SA"/>
        </w:rPr>
        <w:t>л, денежные средства предоставил, однако Постникова Е.Ю. свои обязательства не исполняла, не производила в установленные сторонами сроки и размере платежи по погашению суммы кредита и процентов, чем нарушила условия исполнения эмиссионного контракта. 18.08</w:t>
      </w:r>
      <w:r>
        <w:rPr>
          <w:lang w:val="en-BE" w:eastAsia="en-BE" w:bidi="ar-SA"/>
        </w:rPr>
        <w:t xml:space="preserve">.2019 заемщик Постникова Е.Ю. умерла. По состоянию на 21.01.2022 размер задолженности по эмиссионному контракту по основному долгу составляет </w:t>
      </w:r>
      <w:r>
        <w:rPr>
          <w:rStyle w:val="cat-Sumgrp-17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по процентам – </w:t>
      </w:r>
      <w:r>
        <w:rPr>
          <w:rStyle w:val="cat-Sumgrp-18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Истец просит взыскать из стоимости наследственного имущества Постниковой Е.Ю. задолжен</w:t>
      </w:r>
      <w:r>
        <w:rPr>
          <w:lang w:val="en-BE" w:eastAsia="en-BE" w:bidi="ar-SA"/>
        </w:rPr>
        <w:t xml:space="preserve">ность по эмиссионному контракту в указанном размере, а также расходы по уплате государственной пошлины в размере </w:t>
      </w:r>
      <w:r>
        <w:rPr>
          <w:rStyle w:val="cat-Sumgrp-19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5F06E928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Определением суда от 23.02.2022, занесенным в протокол судебного заседания, к участию в деле были привлечены надлежащие ответчики Буйнов</w:t>
      </w:r>
      <w:r>
        <w:rPr>
          <w:lang w:val="en-BE" w:eastAsia="en-BE" w:bidi="ar-SA"/>
        </w:rPr>
        <w:t xml:space="preserve">ская М.А. в интересах несовершеннолетнего </w:t>
      </w:r>
      <w:r>
        <w:rPr>
          <w:rStyle w:val="cat-FIOgrp-11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PassportDatagrp-22rplc-16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, Постников В.В., являющиеся наследниками Постниковой Е.Ю.</w:t>
      </w:r>
    </w:p>
    <w:p w14:paraId="272B9280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Дело рассмотрено в отсутствие надлежаще извещенного представителя истца ПАО Сбербанк по правилам ч. 5 ст. 167 ГПК РФ и в отсутствии о</w:t>
      </w:r>
      <w:r>
        <w:rPr>
          <w:lang w:val="en-BE" w:eastAsia="en-BE" w:bidi="ar-SA"/>
        </w:rPr>
        <w:t xml:space="preserve">тветчиков Буйновской М.А., </w:t>
      </w:r>
      <w:r>
        <w:rPr>
          <w:rStyle w:val="cat-FIOgrp-13rplc-20"/>
          <w:lang w:val="en-BE" w:eastAsia="en-BE" w:bidi="ar-SA"/>
        </w:rPr>
        <w:t>фио</w:t>
      </w:r>
      <w:r>
        <w:rPr>
          <w:lang w:val="en-BE" w:eastAsia="en-BE" w:bidi="ar-SA"/>
        </w:rPr>
        <w:t>, в отношении которых в материалах дела имеются сведения о надлежащем извещении.</w:t>
      </w:r>
    </w:p>
    <w:p w14:paraId="4DA012B7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7" w:history="1">
        <w:r>
          <w:rPr>
            <w:color w:val="0000EE"/>
            <w:lang w:val="en-BE" w:eastAsia="en-BE" w:bidi="ar-SA"/>
          </w:rPr>
          <w:t>п. 3</w:t>
        </w:r>
      </w:hyperlink>
      <w:r>
        <w:rPr>
          <w:lang w:val="en-BE" w:eastAsia="en-BE" w:bidi="ar-SA"/>
        </w:rPr>
        <w:t xml:space="preserve"> Постановления Пленума Верховного Суда Российской Федерации от 26 июня 2008 года N 13 "О применении норм гражданского процессуального кодекса Российской Федерации при рассмотрении и разрешении дел в суде первой инстанции", п</w:t>
      </w:r>
      <w:r>
        <w:rPr>
          <w:lang w:val="en-BE" w:eastAsia="en-BE" w:bidi="ar-SA"/>
        </w:rPr>
        <w:t xml:space="preserve">ри неявке в суд лица, извещенного в установленном порядке о времени и месте рассмотрения дела, вопрос о возможности судебного разбирательства дела решается с учетом требований </w:t>
      </w:r>
      <w:hyperlink r:id="rId8" w:history="1">
        <w:r>
          <w:rPr>
            <w:color w:val="0000EE"/>
            <w:lang w:val="en-BE" w:eastAsia="en-BE" w:bidi="ar-SA"/>
          </w:rPr>
          <w:t>статей 167</w:t>
        </w:r>
      </w:hyperlink>
      <w:r>
        <w:rPr>
          <w:lang w:val="en-BE" w:eastAsia="en-BE" w:bidi="ar-SA"/>
        </w:rPr>
        <w:t xml:space="preserve"> и </w:t>
      </w:r>
      <w:hyperlink r:id="rId9" w:history="1">
        <w:r>
          <w:rPr>
            <w:color w:val="0000EE"/>
            <w:lang w:val="en-BE" w:eastAsia="en-BE" w:bidi="ar-SA"/>
          </w:rPr>
          <w:t>233</w:t>
        </w:r>
      </w:hyperlink>
      <w:r>
        <w:rPr>
          <w:lang w:val="en-BE" w:eastAsia="en-BE" w:bidi="ar-SA"/>
        </w:rPr>
        <w:t xml:space="preserve"> ГПК РФ. Невыполнение лицами, участвующими в деле, обязанности известить суд о причинах неявки и представить доказательства уважительности этих причин дает суду право рассмотреть дело в их отсутствие.</w:t>
      </w:r>
    </w:p>
    <w:p w14:paraId="10FAC4A2" w14:textId="77777777" w:rsidR="00000000" w:rsidRDefault="00D7428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правовой позиции, изложенной в </w:t>
      </w:r>
      <w:hyperlink r:id="rId10" w:history="1">
        <w:r>
          <w:rPr>
            <w:color w:val="0000EE"/>
            <w:lang w:val="en-BE" w:eastAsia="en-BE" w:bidi="ar-SA"/>
          </w:rPr>
          <w:t>пунктах 67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68</w:t>
        </w:r>
      </w:hyperlink>
      <w:r>
        <w:rPr>
          <w:lang w:val="en-BE" w:eastAsia="en-BE" w:bidi="ar-SA"/>
        </w:rPr>
        <w:t xml:space="preserve"> Постановления Пленума Верховного Суда РФ от 23.06.2015 N 25 "О применении судами некоторых положений </w:t>
      </w:r>
      <w:r>
        <w:rPr>
          <w:lang w:val="en-BE" w:eastAsia="en-BE" w:bidi="ar-SA"/>
        </w:rPr>
        <w:lastRenderedPageBreak/>
        <w:t>раздела I части первой Гражданского кодекса Российской Федерации", юридически значимое сообщение считается доставленным и в тех случаях, ес</w:t>
      </w:r>
      <w:r>
        <w:rPr>
          <w:lang w:val="en-BE" w:eastAsia="en-BE" w:bidi="ar-SA"/>
        </w:rPr>
        <w:t>ли оно поступило лицу, которому оно направлено, но по обстоятельствам, зависящим от него, не было ему вручено или адресат не ознакомился с ним (</w:t>
      </w:r>
      <w:hyperlink r:id="rId12" w:history="1">
        <w:r>
          <w:rPr>
            <w:color w:val="0000EE"/>
            <w:lang w:val="en-BE" w:eastAsia="en-BE" w:bidi="ar-SA"/>
          </w:rPr>
          <w:t>пункт 1 статьи 165.1</w:t>
        </w:r>
      </w:hyperlink>
      <w:r>
        <w:rPr>
          <w:lang w:val="en-BE" w:eastAsia="en-BE" w:bidi="ar-SA"/>
        </w:rPr>
        <w:t xml:space="preserve"> ГК РФ). Например, сообщение считается доставленным, если адресат уклонился от получения корреспонденции в отделении связи, в связи с чем, она была возвращена по истечении срока хранения. Риск неполучения поступившей корре</w:t>
      </w:r>
      <w:r>
        <w:rPr>
          <w:lang w:val="en-BE" w:eastAsia="en-BE" w:bidi="ar-SA"/>
        </w:rPr>
        <w:t xml:space="preserve">спонденции несет адресат. </w:t>
      </w:r>
      <w:hyperlink r:id="rId13" w:history="1">
        <w:r>
          <w:rPr>
            <w:color w:val="0000EE"/>
            <w:lang w:val="en-BE" w:eastAsia="en-BE" w:bidi="ar-SA"/>
          </w:rPr>
          <w:t>Статья 165.1</w:t>
        </w:r>
      </w:hyperlink>
      <w:r>
        <w:rPr>
          <w:lang w:val="en-BE" w:eastAsia="en-BE" w:bidi="ar-SA"/>
        </w:rPr>
        <w:t xml:space="preserve"> Гражданского кодекса РФ подлежит применению также к судебным извещениям и вызовам, если гра</w:t>
      </w:r>
      <w:r>
        <w:rPr>
          <w:lang w:val="en-BE" w:eastAsia="en-BE" w:bidi="ar-SA"/>
        </w:rPr>
        <w:t xml:space="preserve">жданским процессуальным или арбитражным процессуальным законодательством не предусмотрено иное.  </w:t>
      </w:r>
    </w:p>
    <w:p w14:paraId="7F563FA2" w14:textId="77777777" w:rsidR="00000000" w:rsidRDefault="00D7428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 ст.6 Конвенции от 04.11.1950 года «О защите прав человека и основных свобод» каждый в случае спора о его гражданских правах и обязанностях </w:t>
      </w:r>
      <w:r>
        <w:rPr>
          <w:lang w:val="en-BE" w:eastAsia="en-BE" w:bidi="ar-SA"/>
        </w:rPr>
        <w:t xml:space="preserve">имеет право на справедливое публичное разбирательство дела в разумный срок. </w:t>
      </w:r>
    </w:p>
    <w:p w14:paraId="2AD42051" w14:textId="77777777" w:rsidR="00000000" w:rsidRDefault="00D7428E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анализа указанных выше норм действующего законодательства, с учетом письменного ходатайства истца о рассмотрении дела в отсутствие представителя истца, с учетом имеющихс</w:t>
      </w:r>
      <w:r>
        <w:rPr>
          <w:lang w:val="en-BE" w:eastAsia="en-BE" w:bidi="ar-SA"/>
        </w:rPr>
        <w:t>я в материалах дела документов, подтверждающих надлежащее извещение ответчика о дате, времени и месте судебного заседания, суд считает возможным рассмотреть дело при данной явке сторон.</w:t>
      </w:r>
    </w:p>
    <w:p w14:paraId="26E87DA6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письменные материалы дела, оценив доказательства в совокупн</w:t>
      </w:r>
      <w:r>
        <w:rPr>
          <w:lang w:val="en-BE" w:eastAsia="en-BE" w:bidi="ar-SA"/>
        </w:rPr>
        <w:t xml:space="preserve">ости, суд приходит к следующему. </w:t>
      </w:r>
    </w:p>
    <w:p w14:paraId="402901F3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810 Гражданского Кодекса Российской Федерации (далее ГК РФ)  заемщик обязан возвратить займодавцу полученную сумму займа в срок и в порядке, которые предусмотрены договором займа. </w:t>
      </w:r>
    </w:p>
    <w:p w14:paraId="003CAD69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</w:t>
      </w:r>
      <w:r>
        <w:rPr>
          <w:lang w:val="en-BE" w:eastAsia="en-BE" w:bidi="ar-SA"/>
        </w:rPr>
        <w:t>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</w:t>
      </w:r>
      <w:r>
        <w:rPr>
          <w:lang w:val="en-BE" w:eastAsia="en-BE" w:bidi="ar-SA"/>
        </w:rPr>
        <w:t xml:space="preserve">нты на нее. </w:t>
      </w:r>
    </w:p>
    <w:p w14:paraId="32D5385D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 ст. 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заимодавец вправе потребовать досрочного воз</w:t>
      </w:r>
      <w:r>
        <w:rPr>
          <w:lang w:val="en-BE" w:eastAsia="en-BE" w:bidi="ar-SA"/>
        </w:rPr>
        <w:t xml:space="preserve">врата всей оставшейся суммы займа вместе и причитающимися процентами. </w:t>
      </w:r>
    </w:p>
    <w:p w14:paraId="38E00980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абз.1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</w:t>
      </w:r>
      <w:r>
        <w:rPr>
          <w:lang w:val="en-BE" w:eastAsia="en-BE" w:bidi="ar-SA"/>
        </w:rPr>
        <w:t xml:space="preserve">х условий и требований - в соответствии с обычаями или иными обычно предъявляемыми требованиями. </w:t>
      </w:r>
    </w:p>
    <w:p w14:paraId="05D940D4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предусмотрено, что односторонний отказ от исполнения обязательства и одностороннее изменение его условий не допускаются, за исключение</w:t>
      </w:r>
      <w:r>
        <w:rPr>
          <w:lang w:val="en-BE" w:eastAsia="en-BE" w:bidi="ar-SA"/>
        </w:rPr>
        <w:t xml:space="preserve">м случаев, предусмотренных настоящим Кодексом, другими законами или иными правовыми актами. </w:t>
      </w:r>
    </w:p>
    <w:p w14:paraId="7A98C9DF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смыслу ст. 418 ГК РФ смерть заемщика не является основанием для прекращения обязательств, вытекающих из кредитного договора, как по уплате основной суммы долга,</w:t>
      </w:r>
      <w:r>
        <w:rPr>
          <w:lang w:val="en-BE" w:eastAsia="en-BE" w:bidi="ar-SA"/>
        </w:rPr>
        <w:t xml:space="preserve"> так и процентов за пользование кредитом. </w:t>
      </w:r>
    </w:p>
    <w:p w14:paraId="52856D71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428 ГК РФ,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</w:t>
      </w:r>
      <w:r>
        <w:rPr>
          <w:lang w:val="en-BE" w:eastAsia="en-BE" w:bidi="ar-SA"/>
        </w:rPr>
        <w:t xml:space="preserve">утем присоединения к предложенному договору в целом. </w:t>
      </w:r>
    </w:p>
    <w:p w14:paraId="63C46496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Согласно ст. 1114 ГК РФ временем открытия наследства является момент смерти гражданина. В соответствии с ч. 1 ст. 1112 ГК РФ в состав наследства входят принадлежавшие наследодателю на день открытия насл</w:t>
      </w:r>
      <w:r>
        <w:rPr>
          <w:lang w:val="en-BE" w:eastAsia="en-BE" w:bidi="ar-SA"/>
        </w:rPr>
        <w:t xml:space="preserve">едства вещи, иное имущество, в том числе имущественные права и обязанности. </w:t>
      </w:r>
    </w:p>
    <w:p w14:paraId="0053B4D9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1142 ГК РФ наследниками первой очереди по закону являются дети, супруг и родители наследодателя. </w:t>
      </w:r>
    </w:p>
    <w:p w14:paraId="264DA0F5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1175 ГК РФ наследники, принявшие наследство, отвечают по </w:t>
      </w:r>
      <w:r>
        <w:rPr>
          <w:lang w:val="en-BE" w:eastAsia="en-BE" w:bidi="ar-SA"/>
        </w:rPr>
        <w:t xml:space="preserve">долгам наследодателя солидарно в пределах стоимости перешедшего к ним наследственного имущества. Кредиторы наследодателя вправе предъявить свои требования к принявшим наследство наследникам. </w:t>
      </w:r>
    </w:p>
    <w:p w14:paraId="0B248C5C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разъяснил Пленум Верховного Суда Российской Федерации в пунк</w:t>
      </w:r>
      <w:r>
        <w:rPr>
          <w:lang w:val="en-BE" w:eastAsia="en-BE" w:bidi="ar-SA"/>
        </w:rPr>
        <w:t>тах 60, 61 своего Постановления от 29.05.2012 года N 9 "О судебной практике по делам о наследовании",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наследства. Прин</w:t>
      </w:r>
      <w:r>
        <w:rPr>
          <w:lang w:val="en-BE" w:eastAsia="en-BE" w:bidi="ar-SA"/>
        </w:rPr>
        <w:t>явшие наследство наследники должника становятся солидарными должниками (статья 323 ГК РФ) в пределах стоимости перешедшего к ним наследственного имущества. При отсутствии или недостаточности наследственного имущества требования кредиторов по обязательствам</w:t>
      </w:r>
      <w:r>
        <w:rPr>
          <w:lang w:val="en-BE" w:eastAsia="en-BE" w:bidi="ar-SA"/>
        </w:rPr>
        <w:t xml:space="preserve"> наследодателя не подлежат удовлетворению за счет имущества наследников и обязательства по долгам наследодателя прекращаются невозможностью исполнения полностью или в недостающей части наследственного имущества (пункт 1 статьи 416 ГК РФ). Стоимость перешед</w:t>
      </w:r>
      <w:r>
        <w:rPr>
          <w:lang w:val="en-BE" w:eastAsia="en-BE" w:bidi="ar-SA"/>
        </w:rPr>
        <w:t xml:space="preserve">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 ее последующего изменения ко времени рассмотрения дела судом. </w:t>
      </w:r>
    </w:p>
    <w:p w14:paraId="14294D83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</w:t>
      </w:r>
      <w:r>
        <w:rPr>
          <w:lang w:val="en-BE" w:eastAsia="en-BE" w:bidi="ar-SA"/>
        </w:rPr>
        <w:t>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обязанность по их исполнению со дня открытия наследства. Размер задолженности, подлежащей взысканию с наследн</w:t>
      </w:r>
      <w:r>
        <w:rPr>
          <w:lang w:val="en-BE" w:eastAsia="en-BE" w:bidi="ar-SA"/>
        </w:rPr>
        <w:t xml:space="preserve">ика, определяется на время вынесения решения суда. </w:t>
      </w:r>
    </w:p>
    <w:p w14:paraId="0F8F54E3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в судебном заседании, 17.06.2019 между ПАО Сбербанк и Постниковой Е.Ю. на основании заявления на получение кредитной карты был заключен эмиссионный контракт N 0910-Р-1354075780 на предоста</w:t>
      </w:r>
      <w:r>
        <w:rPr>
          <w:lang w:val="en-BE" w:eastAsia="en-BE" w:bidi="ar-SA"/>
        </w:rPr>
        <w:t xml:space="preserve">вление возобновляемого лимита кредита посредством выдачи банковской карты Сбербанка с предоставленным по ней кредитом и обслуживанием счета в российских рублях. </w:t>
      </w:r>
    </w:p>
    <w:p w14:paraId="08B84815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</w:t>
      </w:r>
      <w:r>
        <w:rPr>
          <w:lang w:val="en-BE" w:eastAsia="en-BE" w:bidi="ar-SA"/>
        </w:rPr>
        <w:t xml:space="preserve"> на получение кредитной карты ПАО Сбербанка и подписания Индивидуальных условий выпуска и обслуживания кредитной карты Банка, ознакомления с Общими условиями выпуска и обслуживания кредитной карты Банка, Тарифами Банка, Памяткой держателя банковских карт и</w:t>
      </w:r>
      <w:r>
        <w:rPr>
          <w:lang w:val="en-BE" w:eastAsia="en-BE" w:bidi="ar-SA"/>
        </w:rPr>
        <w:t xml:space="preserve"> Памяткой по безопасности. </w:t>
      </w:r>
    </w:p>
    <w:p w14:paraId="20B20946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договором заемщику была выдана кредитная карта с первоначальным лимитом кредита </w:t>
      </w:r>
      <w:r>
        <w:rPr>
          <w:rStyle w:val="cat-Sumgrp-20rplc-22"/>
          <w:lang w:val="en-BE" w:eastAsia="en-BE" w:bidi="ar-SA"/>
        </w:rPr>
        <w:t>сумма</w:t>
      </w:r>
      <w:r>
        <w:rPr>
          <w:lang w:val="en-BE" w:eastAsia="en-BE" w:bidi="ar-SA"/>
        </w:rPr>
        <w:t>; операции, совершенные по карте, относятся на счет карты и оплачиваются за счет лимита кредита, предоставленного клиенту, с о</w:t>
      </w:r>
      <w:r>
        <w:rPr>
          <w:lang w:val="en-BE" w:eastAsia="en-BE" w:bidi="ar-SA"/>
        </w:rPr>
        <w:t>дновременным уменьшением доступного лимита; на сумму основного долга начисляются проценты за пользование кредитом в соответствии с правилами, определенными в Общих условиях по ставке 23,9 % годовых, при выполнении клиентом условий клиентом условий предоста</w:t>
      </w:r>
      <w:r>
        <w:rPr>
          <w:lang w:val="en-BE" w:eastAsia="en-BE" w:bidi="ar-SA"/>
        </w:rPr>
        <w:t>вления льготного периода проценты за пользование кредитом начисляются в соответствии с правилами, определенными в Общих условиях, по ставке 0 % годовых; срок уплаты обязательного платежа определяется в ежемесячных отчетах по карте, предоставляемых клиенту,</w:t>
      </w:r>
      <w:r>
        <w:rPr>
          <w:lang w:val="en-BE" w:eastAsia="en-BE" w:bidi="ar-SA"/>
        </w:rPr>
        <w:t xml:space="preserve"> с указанием даты и суммы, на которую клиент должен пополнить счет карты; за несвоевременное погашение обязательного платежа взимается неустойка в размере 36 % годовых (п. п. 1-4, 12 Индивидуальных условий). </w:t>
      </w:r>
    </w:p>
    <w:p w14:paraId="691A8C62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следует, что истец выполнил </w:t>
      </w:r>
      <w:r>
        <w:rPr>
          <w:lang w:val="en-BE" w:eastAsia="en-BE" w:bidi="ar-SA"/>
        </w:rPr>
        <w:t xml:space="preserve">свои обязательства по договору, выдав Постниковой Е.Ю. кредитную карту, которой она воспользовалась, что подтверждается выпиской по счету. </w:t>
      </w:r>
    </w:p>
    <w:p w14:paraId="3A887028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Сбербанк, проверенному судом и признанному арифметически верным и соответствующим условиям кред</w:t>
      </w:r>
      <w:r>
        <w:rPr>
          <w:lang w:val="en-BE" w:eastAsia="en-BE" w:bidi="ar-SA"/>
        </w:rPr>
        <w:t xml:space="preserve">итного договора, сумма задолженности по эмиссионному контракту N 0910-Р-13540757580 перед истцом на 21.01.2022 составляет </w:t>
      </w:r>
      <w:r>
        <w:rPr>
          <w:rStyle w:val="cat-Sumgrp-21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том числе по основному долгу </w:t>
      </w:r>
      <w:r>
        <w:rPr>
          <w:rStyle w:val="cat-Sumgrp-17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по процентам – </w:t>
      </w:r>
      <w:r>
        <w:rPr>
          <w:rStyle w:val="cat-Sumgrp-18rplc-26"/>
          <w:lang w:val="en-BE" w:eastAsia="en-BE" w:bidi="ar-SA"/>
        </w:rPr>
        <w:t>сумма</w:t>
      </w:r>
    </w:p>
    <w:p w14:paraId="1F437F3B" w14:textId="77777777" w:rsidR="00000000" w:rsidRDefault="00D7428E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18.08.2019 Постникова Е.Ю. умерла, что подтверждается свидетельством о</w:t>
      </w:r>
      <w:r>
        <w:rPr>
          <w:lang w:val="en-BE" w:eastAsia="en-BE" w:bidi="ar-SA"/>
        </w:rPr>
        <w:t xml:space="preserve"> смерти серии VIII-МЮ № 813040, выданным Многофункциональным центром предоставления государственных услуг </w:t>
      </w:r>
      <w:r>
        <w:rPr>
          <w:rStyle w:val="cat-Addressgrp-1rplc-2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19.08.2019. </w:t>
      </w:r>
    </w:p>
    <w:p w14:paraId="7B74C5F5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Нотариусом </w:t>
      </w:r>
      <w:r>
        <w:rPr>
          <w:rStyle w:val="cat-Addressgrp-2rplc-2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4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открыто наследственное дело N 185/2019 к имуществу умершей 18.08.2019 Постниковой Е.Ю., из материалов которого</w:t>
      </w:r>
      <w:r>
        <w:rPr>
          <w:lang w:val="en-BE" w:eastAsia="en-BE" w:bidi="ar-SA"/>
        </w:rPr>
        <w:t xml:space="preserve"> усматривается, что наследниками к имуществу умершей являются ее супруг Постников В.В. и внук </w:t>
      </w:r>
      <w:r>
        <w:rPr>
          <w:rStyle w:val="cat-FIOgrp-15rplc-3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PassportDatagrp-22rplc-34"/>
          <w:lang w:val="en-BE" w:eastAsia="en-BE" w:bidi="ar-SA"/>
        </w:rPr>
        <w:t>паспортные данные</w:t>
      </w:r>
    </w:p>
    <w:p w14:paraId="49DB4BCD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представленных материалов наследственного дела следует, что наследники Постников В.В., </w:t>
      </w:r>
      <w:r>
        <w:rPr>
          <w:rStyle w:val="cat-FIOgrp-15rplc-36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PassportDatagrp-22rplc-3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, в лице законного представ</w:t>
      </w:r>
      <w:r>
        <w:rPr>
          <w:lang w:val="en-BE" w:eastAsia="en-BE" w:bidi="ar-SA"/>
        </w:rPr>
        <w:t>ителя Буйновской М.А., приняли по всем основаниям наследования наследство, оставшееся после смерти Постниковой Е.Ю., и которым были выданы свидетельства о праве на наследство по закону.</w:t>
      </w:r>
    </w:p>
    <w:p w14:paraId="7CF7E4CA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этом Постников В.В. унаследовал 11/60 долей в праве собственности </w:t>
      </w:r>
      <w:r>
        <w:rPr>
          <w:lang w:val="en-BE" w:eastAsia="en-BE" w:bidi="ar-SA"/>
        </w:rPr>
        <w:t xml:space="preserve">на квартиру по адресу: </w:t>
      </w:r>
      <w:r>
        <w:rPr>
          <w:rStyle w:val="cat-Addressgrp-3rplc-4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FIOgrp-15rplc-42"/>
          <w:lang w:val="en-BE" w:eastAsia="en-BE" w:bidi="ar-SA"/>
        </w:rPr>
        <w:t>фио</w:t>
      </w:r>
      <w:r>
        <w:rPr>
          <w:lang w:val="en-BE" w:eastAsia="en-BE" w:bidi="ar-SA"/>
        </w:rPr>
        <w:t xml:space="preserve"> унаследовал 11/240 долей в праве собственности на квартиру по адресу: </w:t>
      </w:r>
      <w:r>
        <w:rPr>
          <w:rStyle w:val="cat-Addressgrp-3rplc-43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4D111A1C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56 ГПК РФ каждая сторона должна доказать те обстоятельства, на которые она ссылается как на основания своих требований и возражений. </w:t>
      </w:r>
    </w:p>
    <w:p w14:paraId="24238069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12 ГПК РФ гражданское судопроизводство осуществляется на основе состязательности и равноправия сторон. </w:t>
      </w:r>
    </w:p>
    <w:p w14:paraId="010206A1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не нарушен принцип состязательности и предоставлена сторонам возможность представить доказательства в судебное заседание. </w:t>
      </w:r>
    </w:p>
    <w:p w14:paraId="45C4F0BB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</w:t>
      </w:r>
      <w:r>
        <w:rPr>
          <w:lang w:val="en-BE" w:eastAsia="en-BE" w:bidi="ar-SA"/>
        </w:rPr>
        <w:t xml:space="preserve">днако, ответчики не представили суду возражения относительно заявленных требований и доказательства, освобождающие их от обязательств по погашению кредитной задолженности наследодателя, расчет задолженности не оспорен. </w:t>
      </w:r>
    </w:p>
    <w:p w14:paraId="2F541026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сумма кредитной задолженно</w:t>
      </w:r>
      <w:r>
        <w:rPr>
          <w:lang w:val="en-BE" w:eastAsia="en-BE" w:bidi="ar-SA"/>
        </w:rPr>
        <w:t>сти Постниковой Е.Ю. не превышает стоимость вышеуказанного наследственного имущества – долей в праве собственности на квартиру, суд взыскивает солидарно с ответчиков - наследников Постниковой Е.Ю. задолженность по эмиссионному контракту N 0910-Р-1354075758</w:t>
      </w:r>
      <w:r>
        <w:rPr>
          <w:lang w:val="en-BE" w:eastAsia="en-BE" w:bidi="ar-SA"/>
        </w:rPr>
        <w:t xml:space="preserve">0 от 17.06.2019 в размере </w:t>
      </w:r>
      <w:r>
        <w:rPr>
          <w:rStyle w:val="cat-Sumgrp-21rplc-46"/>
          <w:lang w:val="en-BE" w:eastAsia="en-BE" w:bidi="ar-SA"/>
        </w:rPr>
        <w:t>сумма</w:t>
      </w:r>
      <w:r>
        <w:rPr>
          <w:lang w:val="en-BE" w:eastAsia="en-BE" w:bidi="ar-SA"/>
        </w:rPr>
        <w:t>, согласно представленному истцом расчету.</w:t>
      </w:r>
    </w:p>
    <w:p w14:paraId="46FC5B6B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ответчика Буйновской  М.А. о необходимости привлечения к участию в деле иных наследников, суд находит несостоятельными, поскольку иные наследники от принятия наследства отказа</w:t>
      </w:r>
      <w:r>
        <w:rPr>
          <w:lang w:val="en-BE" w:eastAsia="en-BE" w:bidi="ar-SA"/>
        </w:rPr>
        <w:t xml:space="preserve">лись. </w:t>
      </w:r>
    </w:p>
    <w:p w14:paraId="5A4BFB00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98 ГПК РФ, суд также взыскивает солидарно с ответчиков в пользу истца расходы по уплате государственной пошлины в размере </w:t>
      </w:r>
      <w:r>
        <w:rPr>
          <w:rStyle w:val="cat-Sumgrp-19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2FE914C1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 ст. 194-199 ГПК РФ, суд </w:t>
      </w:r>
    </w:p>
    <w:p w14:paraId="1BCDFD38" w14:textId="77777777" w:rsidR="00000000" w:rsidRDefault="00D7428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  </w:t>
      </w:r>
    </w:p>
    <w:p w14:paraId="4877FD4C" w14:textId="77777777" w:rsidR="00000000" w:rsidRDefault="00D7428E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решил: </w:t>
      </w:r>
    </w:p>
    <w:p w14:paraId="3E3D300A" w14:textId="77777777" w:rsidR="00000000" w:rsidRDefault="00D7428E">
      <w:pPr>
        <w:jc w:val="center"/>
        <w:rPr>
          <w:lang w:val="en-BE" w:eastAsia="en-BE" w:bidi="ar-SA"/>
        </w:rPr>
      </w:pPr>
    </w:p>
    <w:p w14:paraId="4C68CAE5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</w:t>
      </w:r>
      <w:r>
        <w:rPr>
          <w:lang w:val="en-BE" w:eastAsia="en-BE" w:bidi="ar-SA"/>
        </w:rPr>
        <w:t xml:space="preserve">ия ПАО Сбербанк в лице филиала - Московского банка ПАО Сбербанк (ИНН 7707083893) ПАО Сбербанк в лице филиала - Московского банка ПАО Сбербанк к Постникову Валерию Васильевичу, Буйновской Маргариты Анатольевны в интересах несовершеннолетнего </w:t>
      </w:r>
      <w:r>
        <w:rPr>
          <w:rStyle w:val="cat-FIOgrp-6rplc-51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взыскание</w:t>
      </w:r>
      <w:r>
        <w:rPr>
          <w:lang w:val="en-BE" w:eastAsia="en-BE" w:bidi="ar-SA"/>
        </w:rPr>
        <w:t xml:space="preserve"> задолженности по кредитному договору из наследственного имущества - удовлетворить. </w:t>
      </w:r>
    </w:p>
    <w:p w14:paraId="6B3C962B" w14:textId="77777777" w:rsidR="00000000" w:rsidRDefault="00D7428E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солидарно с Постникова Валерия Васильевича (</w:t>
      </w:r>
      <w:r>
        <w:rPr>
          <w:rStyle w:val="cat-PassportDatagrp-23rplc-53"/>
          <w:lang w:val="en-BE" w:eastAsia="en-BE" w:bidi="ar-SA"/>
        </w:rPr>
        <w:t>паспортные данные</w:t>
      </w:r>
      <w:r>
        <w:rPr>
          <w:rStyle w:val="cat-ExternalSystemDefinedgrp-25rplc-54"/>
          <w:lang w:val="en-BE" w:eastAsia="en-BE" w:bidi="ar-SA"/>
        </w:rPr>
        <w:t>...</w:t>
      </w:r>
      <w:r>
        <w:rPr>
          <w:rStyle w:val="cat-ExternalSystemDefinedgrp-26rplc-55"/>
          <w:lang w:val="en-BE" w:eastAsia="en-BE" w:bidi="ar-SA"/>
        </w:rPr>
        <w:t>...</w:t>
      </w:r>
      <w:r>
        <w:rPr>
          <w:lang w:val="en-BE" w:eastAsia="en-BE" w:bidi="ar-SA"/>
        </w:rPr>
        <w:t>), Буйновской Маргариты Анатольевны (</w:t>
      </w:r>
      <w:r>
        <w:rPr>
          <w:rStyle w:val="cat-PassportDatagrp-24rplc-57"/>
          <w:lang w:val="en-BE" w:eastAsia="en-BE" w:bidi="ar-SA"/>
        </w:rPr>
        <w:t>паспортные данные</w:t>
      </w:r>
      <w:r>
        <w:rPr>
          <w:rStyle w:val="cat-ExternalSystemDefinedgrp-27rplc-58"/>
          <w:lang w:val="en-BE" w:eastAsia="en-BE" w:bidi="ar-SA"/>
        </w:rPr>
        <w:t>...</w:t>
      </w:r>
      <w:r>
        <w:rPr>
          <w:rStyle w:val="cat-ExternalSystemDefinedgrp-28rplc-59"/>
          <w:lang w:val="en-BE" w:eastAsia="en-BE" w:bidi="ar-SA"/>
        </w:rPr>
        <w:t>...</w:t>
      </w:r>
      <w:r>
        <w:rPr>
          <w:lang w:val="en-BE" w:eastAsia="en-BE" w:bidi="ar-SA"/>
        </w:rPr>
        <w:t xml:space="preserve">), в интересах несовершеннолетнего </w:t>
      </w:r>
      <w:r>
        <w:rPr>
          <w:rStyle w:val="cat-FIOgrp-6rplc-60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PassportDatagrp-22rplc-61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 в пользу ПАО Сбербанк в лице филиала - Московского Банка ПАО Сбербанк задолженность по эмиссионному контракту N 0910-Р-13540757580 от 17.06.2019 в размере </w:t>
      </w:r>
      <w:r>
        <w:rPr>
          <w:rStyle w:val="cat-Sumgrp-21rplc-6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9rplc-6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0E59EDCE" w14:textId="77777777" w:rsidR="00000000" w:rsidRDefault="00D7428E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</w:t>
      </w:r>
      <w:r>
        <w:rPr>
          <w:lang w:val="en-BE" w:eastAsia="en-BE" w:bidi="ar-SA"/>
        </w:rPr>
        <w:t xml:space="preserve">т быть обжаловано сторонами в Московский городской суд через Зюзинский районный суд </w:t>
      </w:r>
      <w:r>
        <w:rPr>
          <w:rStyle w:val="cat-Addressgrp-0rplc-6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 со дня принятия решения судом в окончательной форме.</w:t>
      </w:r>
    </w:p>
    <w:p w14:paraId="2B04A6D1" w14:textId="77777777" w:rsidR="00000000" w:rsidRDefault="00D7428E">
      <w:pPr>
        <w:rPr>
          <w:lang w:val="en-BE" w:eastAsia="en-BE" w:bidi="ar-SA"/>
        </w:rPr>
      </w:pPr>
    </w:p>
    <w:p w14:paraId="6C80757E" w14:textId="77777777" w:rsidR="00000000" w:rsidRDefault="00D7428E">
      <w:pPr>
        <w:ind w:firstLine="708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     </w:t>
      </w:r>
      <w:r>
        <w:rPr>
          <w:lang w:val="en-BE" w:eastAsia="en-BE" w:bidi="ar-SA"/>
        </w:rPr>
        <w:t xml:space="preserve">                Сафьян Е.И.            </w:t>
      </w:r>
    </w:p>
    <w:p w14:paraId="17284D40" w14:textId="77777777" w:rsidR="00000000" w:rsidRDefault="00D7428E">
      <w:pPr>
        <w:ind w:firstLine="708"/>
        <w:jc w:val="both"/>
        <w:rPr>
          <w:lang w:val="en-BE" w:eastAsia="en-BE" w:bidi="ar-SA"/>
        </w:rPr>
      </w:pPr>
    </w:p>
    <w:p w14:paraId="00284813" w14:textId="77777777" w:rsidR="00000000" w:rsidRDefault="00D7428E">
      <w:pPr>
        <w:ind w:firstLine="540"/>
        <w:jc w:val="both"/>
        <w:rPr>
          <w:lang w:val="en-BE" w:eastAsia="en-BE" w:bidi="ar-SA"/>
        </w:rPr>
      </w:pPr>
    </w:p>
    <w:p w14:paraId="2461C0BE" w14:textId="77777777" w:rsidR="00000000" w:rsidRDefault="00D7428E">
      <w:pPr>
        <w:ind w:firstLine="540"/>
        <w:jc w:val="both"/>
        <w:rPr>
          <w:lang w:val="en-BE" w:eastAsia="en-BE" w:bidi="ar-SA"/>
        </w:rPr>
      </w:pPr>
    </w:p>
    <w:p w14:paraId="552C0992" w14:textId="77777777" w:rsidR="00000000" w:rsidRDefault="00D7428E">
      <w:pPr>
        <w:spacing w:after="200" w:line="276" w:lineRule="auto"/>
        <w:rPr>
          <w:lang w:val="en-BE" w:eastAsia="en-BE" w:bidi="ar-SA"/>
        </w:rPr>
      </w:pPr>
    </w:p>
    <w:sectPr w:rsidR="00000000">
      <w:foot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2D620" w14:textId="77777777" w:rsidR="00000000" w:rsidRDefault="00D7428E">
      <w:r>
        <w:separator/>
      </w:r>
    </w:p>
  </w:endnote>
  <w:endnote w:type="continuationSeparator" w:id="0">
    <w:p w14:paraId="261EB1C5" w14:textId="77777777" w:rsidR="00000000" w:rsidRDefault="00D7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8BBF7" w14:textId="77777777" w:rsidR="00000000" w:rsidRDefault="00D7428E">
    <w:pPr>
      <w:spacing w:after="200" w:line="276" w:lineRule="auto"/>
      <w:jc w:val="center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06CFF051" w14:textId="77777777" w:rsidR="00000000" w:rsidRDefault="00D7428E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81862" w14:textId="77777777" w:rsidR="00000000" w:rsidRDefault="00D7428E">
      <w:r>
        <w:separator/>
      </w:r>
    </w:p>
  </w:footnote>
  <w:footnote w:type="continuationSeparator" w:id="0">
    <w:p w14:paraId="72C5D3C7" w14:textId="77777777" w:rsidR="00000000" w:rsidRDefault="00D74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428E"/>
    <w:rsid w:val="00D7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4C16907"/>
  <w15:chartTrackingRefBased/>
  <w15:docId w15:val="{04BACCB1-12BF-4123-A8F8-6CCAD50F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FIOgrp-8rplc-2">
    <w:name w:val="cat-FIO grp-8 rplc-2"/>
    <w:basedOn w:val="a0"/>
  </w:style>
  <w:style w:type="character" w:customStyle="1" w:styleId="cat-FIOgrp-6rplc-5">
    <w:name w:val="cat-FIO grp-6 rplc-5"/>
    <w:basedOn w:val="a0"/>
  </w:style>
  <w:style w:type="character" w:customStyle="1" w:styleId="cat-Sumgrp-17rplc-10">
    <w:name w:val="cat-Sum grp-17 rplc-10"/>
    <w:basedOn w:val="a0"/>
  </w:style>
  <w:style w:type="character" w:customStyle="1" w:styleId="cat-Sumgrp-18rplc-11">
    <w:name w:val="cat-Sum grp-18 rplc-11"/>
    <w:basedOn w:val="a0"/>
  </w:style>
  <w:style w:type="character" w:customStyle="1" w:styleId="cat-Sumgrp-19rplc-13">
    <w:name w:val="cat-Sum grp-19 rplc-13"/>
    <w:basedOn w:val="a0"/>
  </w:style>
  <w:style w:type="character" w:customStyle="1" w:styleId="cat-FIOgrp-11rplc-15">
    <w:name w:val="cat-FIO grp-11 rplc-15"/>
    <w:basedOn w:val="a0"/>
  </w:style>
  <w:style w:type="character" w:customStyle="1" w:styleId="cat-PassportDatagrp-22rplc-16">
    <w:name w:val="cat-PassportData grp-22 rplc-16"/>
    <w:basedOn w:val="a0"/>
  </w:style>
  <w:style w:type="character" w:customStyle="1" w:styleId="cat-FIOgrp-13rplc-20">
    <w:name w:val="cat-FIO grp-13 rplc-20"/>
    <w:basedOn w:val="a0"/>
  </w:style>
  <w:style w:type="character" w:customStyle="1" w:styleId="cat-Sumgrp-20rplc-22">
    <w:name w:val="cat-Sum grp-20 rplc-22"/>
    <w:basedOn w:val="a0"/>
  </w:style>
  <w:style w:type="character" w:customStyle="1" w:styleId="cat-Sumgrp-21rplc-24">
    <w:name w:val="cat-Sum grp-21 rplc-24"/>
    <w:basedOn w:val="a0"/>
  </w:style>
  <w:style w:type="character" w:customStyle="1" w:styleId="cat-Sumgrp-17rplc-25">
    <w:name w:val="cat-Sum grp-17 rplc-25"/>
    <w:basedOn w:val="a0"/>
  </w:style>
  <w:style w:type="character" w:customStyle="1" w:styleId="cat-Sumgrp-18rplc-26">
    <w:name w:val="cat-Sum grp-18 rplc-26"/>
    <w:basedOn w:val="a0"/>
  </w:style>
  <w:style w:type="character" w:customStyle="1" w:styleId="cat-Addressgrp-1rplc-28">
    <w:name w:val="cat-Address grp-1 rplc-28"/>
    <w:basedOn w:val="a0"/>
  </w:style>
  <w:style w:type="character" w:customStyle="1" w:styleId="cat-Addressgrp-2rplc-29">
    <w:name w:val="cat-Address grp-2 rplc-29"/>
    <w:basedOn w:val="a0"/>
  </w:style>
  <w:style w:type="character" w:customStyle="1" w:styleId="cat-FIOgrp-14rplc-30">
    <w:name w:val="cat-FIO grp-14 rplc-30"/>
    <w:basedOn w:val="a0"/>
  </w:style>
  <w:style w:type="character" w:customStyle="1" w:styleId="cat-FIOgrp-15rplc-33">
    <w:name w:val="cat-FIO grp-15 rplc-33"/>
    <w:basedOn w:val="a0"/>
  </w:style>
  <w:style w:type="character" w:customStyle="1" w:styleId="cat-PassportDatagrp-22rplc-34">
    <w:name w:val="cat-PassportData grp-22 rplc-34"/>
    <w:basedOn w:val="a0"/>
  </w:style>
  <w:style w:type="character" w:customStyle="1" w:styleId="cat-FIOgrp-15rplc-36">
    <w:name w:val="cat-FIO grp-15 rplc-36"/>
    <w:basedOn w:val="a0"/>
  </w:style>
  <w:style w:type="character" w:customStyle="1" w:styleId="cat-PassportDatagrp-22rplc-37">
    <w:name w:val="cat-PassportData grp-22 rplc-37"/>
    <w:basedOn w:val="a0"/>
  </w:style>
  <w:style w:type="character" w:customStyle="1" w:styleId="cat-Addressgrp-3rplc-41">
    <w:name w:val="cat-Address grp-3 rplc-41"/>
    <w:basedOn w:val="a0"/>
  </w:style>
  <w:style w:type="character" w:customStyle="1" w:styleId="cat-FIOgrp-15rplc-42">
    <w:name w:val="cat-FIO grp-15 rplc-42"/>
    <w:basedOn w:val="a0"/>
  </w:style>
  <w:style w:type="character" w:customStyle="1" w:styleId="cat-Addressgrp-3rplc-43">
    <w:name w:val="cat-Address grp-3 rplc-43"/>
    <w:basedOn w:val="a0"/>
  </w:style>
  <w:style w:type="character" w:customStyle="1" w:styleId="cat-Sumgrp-21rplc-46">
    <w:name w:val="cat-Sum grp-21 rplc-46"/>
    <w:basedOn w:val="a0"/>
  </w:style>
  <w:style w:type="character" w:customStyle="1" w:styleId="cat-Sumgrp-19rplc-48">
    <w:name w:val="cat-Sum grp-19 rplc-48"/>
    <w:basedOn w:val="a0"/>
  </w:style>
  <w:style w:type="character" w:customStyle="1" w:styleId="cat-FIOgrp-6rplc-51">
    <w:name w:val="cat-FIO grp-6 rplc-51"/>
    <w:basedOn w:val="a0"/>
  </w:style>
  <w:style w:type="character" w:customStyle="1" w:styleId="cat-PassportDatagrp-23rplc-53">
    <w:name w:val="cat-PassportData grp-23 rplc-53"/>
    <w:basedOn w:val="a0"/>
  </w:style>
  <w:style w:type="character" w:customStyle="1" w:styleId="cat-ExternalSystemDefinedgrp-25rplc-54">
    <w:name w:val="cat-ExternalSystemDefined grp-25 rplc-54"/>
    <w:basedOn w:val="a0"/>
  </w:style>
  <w:style w:type="character" w:customStyle="1" w:styleId="cat-ExternalSystemDefinedgrp-26rplc-55">
    <w:name w:val="cat-ExternalSystemDefined grp-26 rplc-55"/>
    <w:basedOn w:val="a0"/>
  </w:style>
  <w:style w:type="character" w:customStyle="1" w:styleId="cat-PassportDatagrp-24rplc-57">
    <w:name w:val="cat-PassportData grp-24 rplc-57"/>
    <w:basedOn w:val="a0"/>
  </w:style>
  <w:style w:type="character" w:customStyle="1" w:styleId="cat-ExternalSystemDefinedgrp-27rplc-58">
    <w:name w:val="cat-ExternalSystemDefined grp-27 rplc-58"/>
    <w:basedOn w:val="a0"/>
  </w:style>
  <w:style w:type="character" w:customStyle="1" w:styleId="cat-ExternalSystemDefinedgrp-28rplc-59">
    <w:name w:val="cat-ExternalSystemDefined grp-28 rplc-59"/>
    <w:basedOn w:val="a0"/>
  </w:style>
  <w:style w:type="character" w:customStyle="1" w:styleId="cat-FIOgrp-6rplc-60">
    <w:name w:val="cat-FIO grp-6 rplc-60"/>
    <w:basedOn w:val="a0"/>
  </w:style>
  <w:style w:type="character" w:customStyle="1" w:styleId="cat-PassportDatagrp-22rplc-61">
    <w:name w:val="cat-PassportData grp-22 rplc-61"/>
    <w:basedOn w:val="a0"/>
  </w:style>
  <w:style w:type="character" w:customStyle="1" w:styleId="cat-Sumgrp-21rplc-62">
    <w:name w:val="cat-Sum grp-21 rplc-62"/>
    <w:basedOn w:val="a0"/>
  </w:style>
  <w:style w:type="character" w:customStyle="1" w:styleId="cat-Sumgrp-19rplc-63">
    <w:name w:val="cat-Sum grp-19 rplc-63"/>
    <w:basedOn w:val="a0"/>
  </w:style>
  <w:style w:type="character" w:customStyle="1" w:styleId="cat-Addressgrp-0rplc-64">
    <w:name w:val="cat-Address grp-0 rplc-6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33EABE23A5C8560EA3DABE9ED711DAD5D5E1E7EE6BB792945A675008EB3B91EA1FA77D3558C4ADB90610A8684D67D358686409CDFE7D6ADc2L0R" TargetMode="External"/><Relationship Id="rId13" Type="http://schemas.openxmlformats.org/officeDocument/2006/relationships/hyperlink" Target="consultantplus://offline/ref=135B0E000CFF251BE588C4925B1860F5042BFDAB8D6C55CA943F51B4503A92D0742FC2B5EAfAc0R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33EABE23A5C8560EA3DABE9ED711DAD5E5C1B77E7B0792945A675008EB3B91EA1FA77D3558C42DB97610A8684D67D358686409CDFE7D6ADc2L0R" TargetMode="External"/><Relationship Id="rId12" Type="http://schemas.openxmlformats.org/officeDocument/2006/relationships/hyperlink" Target="consultantplus://offline/ref=135B0E000CFF251BE588C4925B1860F5042BFDAB8D6C55CA943F51B4503A92D0742FC2B5EBfAc9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35B0E000CFF251BE588C4925B1860F50723FCA4856955CA943F51B4503A92D0742FC2B7EEA94257fFc3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135B0E000CFF251BE588C4925B1860F50723FCA4856955CA943F51B4503A92D0742FC2B7EEA94257fFc6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33EABE23A5C8560EA3DABE9ED711DAD5D5E1E7EE6BB792945A675008EB3B91EA1FA77D3558D42D396610A8684D67D358686409CDFE7D6ADc2L0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2260</Words>
  <Characters>12888</Characters>
  <Application>Microsoft Office Word</Application>
  <DocSecurity>0</DocSecurity>
  <Lines>107</Lines>
  <Paragraphs>30</Paragraphs>
  <ScaleCrop>false</ScaleCrop>
  <Company/>
  <LinksUpToDate>false</LinksUpToDate>
  <CharactersWithSpaces>15118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