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421BEF" w:rsidRPr="00421BEF" w:rsidP="00421BEF">
      <w:pPr>
        <w:pStyle w:val="NoSpacing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1BEF">
        <w:rPr>
          <w:rFonts w:ascii="Times New Roman" w:hAnsi="Times New Roman" w:cs="Times New Roman"/>
          <w:b/>
          <w:sz w:val="24"/>
          <w:szCs w:val="24"/>
          <w:highlight w:val="none"/>
        </w:rPr>
        <w:t>РЕШЕНИЕ</w:t>
      </w:r>
    </w:p>
    <w:p w:rsidR="00421BEF" w:rsidRPr="00421BEF" w:rsidP="00421BEF">
      <w:pPr>
        <w:pStyle w:val="NoSpacing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1BEF">
        <w:rPr>
          <w:rFonts w:ascii="Times New Roman" w:hAnsi="Times New Roman" w:cs="Times New Roman"/>
          <w:b/>
          <w:sz w:val="24"/>
          <w:szCs w:val="24"/>
          <w:highlight w:val="none"/>
        </w:rPr>
        <w:t>Именем Российской Федерации</w:t>
      </w:r>
    </w:p>
    <w:p w:rsidR="00421BEF" w:rsidP="00421BE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21BEF" w:rsidP="00421BE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21BEF" w:rsidP="00421BE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05 </w:t>
      </w:r>
      <w:r w:rsidR="00DF554A">
        <w:rPr>
          <w:rFonts w:ascii="Times New Roman" w:hAnsi="Times New Roman" w:cs="Times New Roman"/>
          <w:sz w:val="24"/>
          <w:szCs w:val="24"/>
          <w:highlight w:val="none"/>
        </w:rPr>
        <w:t>декабря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2016 года 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  <w:t>город Москва</w:t>
      </w:r>
    </w:p>
    <w:p w:rsidR="00421BEF" w:rsidP="00421BE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21BEF" w:rsidP="00421BE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Дорогомиловский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районный суд города Москвы в составе </w:t>
      </w:r>
    </w:p>
    <w:p w:rsidR="00421BEF" w:rsidP="00421BE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председательствующего судьи </w:t>
      </w:r>
      <w:r w:rsidR="00EA1C55">
        <w:rPr>
          <w:rFonts w:ascii="Times New Roman" w:hAnsi="Times New Roman" w:cs="Times New Roman"/>
          <w:sz w:val="24"/>
          <w:szCs w:val="24"/>
          <w:highlight w:val="none"/>
        </w:rPr>
        <w:t>Гусаковой Д.В.</w:t>
      </w:r>
      <w:r>
        <w:rPr>
          <w:rFonts w:ascii="Times New Roman" w:hAnsi="Times New Roman" w:cs="Times New Roman"/>
          <w:sz w:val="24"/>
          <w:szCs w:val="24"/>
          <w:highlight w:val="none"/>
        </w:rPr>
        <w:t>,</w:t>
      </w:r>
    </w:p>
    <w:p w:rsidR="00421BEF" w:rsidRPr="00D93326" w:rsidP="00421BE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3326">
        <w:rPr>
          <w:rFonts w:ascii="Times New Roman" w:hAnsi="Times New Roman" w:cs="Times New Roman"/>
          <w:sz w:val="24"/>
          <w:szCs w:val="24"/>
          <w:highlight w:val="none"/>
        </w:rPr>
        <w:t xml:space="preserve">при секретаре </w:t>
      </w:r>
      <w:r w:rsidR="00AF7096">
        <w:rPr>
          <w:rFonts w:ascii="Times New Roman" w:hAnsi="Times New Roman" w:cs="Times New Roman"/>
          <w:sz w:val="24"/>
          <w:szCs w:val="24"/>
          <w:highlight w:val="none"/>
        </w:rPr>
        <w:t>Смородовой</w:t>
      </w:r>
      <w:r w:rsidR="00AF7096">
        <w:rPr>
          <w:rFonts w:ascii="Times New Roman" w:hAnsi="Times New Roman" w:cs="Times New Roman"/>
          <w:sz w:val="24"/>
          <w:szCs w:val="24"/>
          <w:highlight w:val="none"/>
        </w:rPr>
        <w:t xml:space="preserve"> В.Д.</w:t>
      </w:r>
      <w:r w:rsidRPr="00D93326">
        <w:rPr>
          <w:rFonts w:ascii="Times New Roman" w:hAnsi="Times New Roman" w:cs="Times New Roman"/>
          <w:sz w:val="24"/>
          <w:szCs w:val="24"/>
          <w:highlight w:val="none"/>
        </w:rPr>
        <w:t>,</w:t>
      </w:r>
    </w:p>
    <w:p w:rsidR="00AF64C8" w:rsidP="00421BE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рассмотрев в открытом судебном за</w:t>
      </w:r>
      <w:r w:rsidR="00EA5987">
        <w:rPr>
          <w:rFonts w:ascii="Times New Roman" w:hAnsi="Times New Roman" w:cs="Times New Roman"/>
          <w:sz w:val="24"/>
          <w:szCs w:val="24"/>
          <w:highlight w:val="none"/>
        </w:rPr>
        <w:t>седании гражданское дело № 2-</w:t>
      </w:r>
      <w:r w:rsidR="00DF554A">
        <w:rPr>
          <w:rFonts w:ascii="Times New Roman" w:hAnsi="Times New Roman" w:cs="Times New Roman"/>
          <w:sz w:val="24"/>
          <w:szCs w:val="24"/>
          <w:highlight w:val="none"/>
        </w:rPr>
        <w:t>4893</w:t>
      </w:r>
      <w:r>
        <w:rPr>
          <w:rFonts w:ascii="Times New Roman" w:hAnsi="Times New Roman" w:cs="Times New Roman"/>
          <w:sz w:val="24"/>
          <w:szCs w:val="24"/>
          <w:highlight w:val="none"/>
        </w:rPr>
        <w:t>\2016 по иску</w:t>
      </w:r>
      <w:r w:rsidR="00DF554A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DF554A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="00DF554A">
        <w:rPr>
          <w:rFonts w:ascii="Times New Roman" w:hAnsi="Times New Roman" w:cs="Times New Roman"/>
          <w:sz w:val="24"/>
          <w:szCs w:val="24"/>
          <w:highlight w:val="none"/>
        </w:rPr>
        <w:t xml:space="preserve"> Владимира Дмитриевича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к ПАО «Сбербанк России» о </w:t>
      </w:r>
      <w:r w:rsidR="00B477CD">
        <w:rPr>
          <w:rFonts w:ascii="Times New Roman" w:hAnsi="Times New Roman" w:cs="Times New Roman"/>
          <w:sz w:val="24"/>
          <w:szCs w:val="24"/>
          <w:highlight w:val="none"/>
        </w:rPr>
        <w:t>защите прав потребителя,</w:t>
      </w:r>
    </w:p>
    <w:p w:rsidR="00421BEF" w:rsidP="00421BEF">
      <w:pPr>
        <w:pStyle w:val="NoSpacing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Установил:</w:t>
      </w:r>
    </w:p>
    <w:p w:rsidR="00421BEF" w:rsidP="009D7CCE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F554A" w:rsidP="001D0744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Владимир Дмитриевич</w:t>
      </w:r>
      <w:r w:rsidR="00AF64C8">
        <w:rPr>
          <w:rFonts w:ascii="Times New Roman" w:hAnsi="Times New Roman" w:cs="Times New Roman"/>
          <w:sz w:val="24"/>
          <w:szCs w:val="24"/>
          <w:highlight w:val="none"/>
        </w:rPr>
        <w:t xml:space="preserve"> обратил</w:t>
      </w:r>
      <w:r>
        <w:rPr>
          <w:rFonts w:ascii="Times New Roman" w:hAnsi="Times New Roman" w:cs="Times New Roman"/>
          <w:sz w:val="24"/>
          <w:szCs w:val="24"/>
          <w:highlight w:val="none"/>
        </w:rPr>
        <w:t>ся</w:t>
      </w:r>
      <w:r w:rsidRPr="004965EC" w:rsidR="00AF36ED">
        <w:rPr>
          <w:rFonts w:ascii="Times New Roman" w:hAnsi="Times New Roman" w:cs="Times New Roman"/>
          <w:sz w:val="24"/>
          <w:szCs w:val="24"/>
          <w:highlight w:val="none"/>
        </w:rPr>
        <w:t xml:space="preserve"> в суд с указанными и</w:t>
      </w:r>
      <w:r w:rsidR="002E0E77">
        <w:rPr>
          <w:rFonts w:ascii="Times New Roman" w:hAnsi="Times New Roman" w:cs="Times New Roman"/>
          <w:sz w:val="24"/>
          <w:szCs w:val="24"/>
          <w:highlight w:val="none"/>
        </w:rPr>
        <w:t>сковыми</w:t>
      </w:r>
      <w:r w:rsidR="00AF64C8">
        <w:rPr>
          <w:rFonts w:ascii="Times New Roman" w:hAnsi="Times New Roman" w:cs="Times New Roman"/>
          <w:sz w:val="24"/>
          <w:szCs w:val="24"/>
          <w:highlight w:val="none"/>
        </w:rPr>
        <w:t xml:space="preserve"> требованиями к ответчику</w:t>
      </w:r>
      <w:r w:rsidRPr="004965EC" w:rsidR="00AF36ED">
        <w:rPr>
          <w:rFonts w:ascii="Times New Roman" w:hAnsi="Times New Roman" w:cs="Times New Roman"/>
          <w:sz w:val="24"/>
          <w:szCs w:val="24"/>
          <w:highlight w:val="none"/>
        </w:rPr>
        <w:t>, мотивируя их следующим.</w:t>
      </w:r>
      <w:r w:rsidR="00CF19CA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В.Д. имеет счет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 ПАО «Сбербанк России», к которому привязана карта. На указанном счете истца были размещены денежные средства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рубля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копеек. В апреле-мае 2016 года истец обнаружил, что с его счета были списаны денежные средства, а именно: 18 апреля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2016 года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копеек; 19 апреля 2016 года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00 копеек; 20 апреля 2016 года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копеек, 22 апреля 2016 года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копеек; 24 апреля 2016 года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копеек; 27 апреля 2016 года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копеек, а всего в 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>размере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копеек. </w:t>
      </w:r>
      <w:r w:rsidR="00245474">
        <w:rPr>
          <w:rFonts w:ascii="Times New Roman" w:hAnsi="Times New Roman" w:cs="Times New Roman"/>
          <w:sz w:val="24"/>
          <w:szCs w:val="24"/>
          <w:highlight w:val="none"/>
        </w:rPr>
        <w:t>Истец указывал, что денежные средства в указанном объеме были списаны без его на то распоряжения, чем были нарушены его права и интересы. Списание денежных средств, как указывал истец, стало возможным в результате не обеспечения Банком технической защищенности индивидуальных банковских карт истца.</w:t>
      </w:r>
      <w:r w:rsidR="0025388F">
        <w:rPr>
          <w:rFonts w:ascii="Times New Roman" w:hAnsi="Times New Roman" w:cs="Times New Roman"/>
          <w:sz w:val="24"/>
          <w:szCs w:val="24"/>
          <w:highlight w:val="none"/>
        </w:rPr>
        <w:t xml:space="preserve"> Адресованная истцом ответчику претензия была оставлена без удовлетворения. 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С учетом поданных уточнений к иску, истец просил суд: взыскать с ПАО «Сбербанк России» в его пользу денежные средства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 xml:space="preserve">ХХХ 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копеек, компенсацию морального вреда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копеек, судебные расходы по оплате услуг представителя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рублей, расходы на нотариальные услуги по оформлению доверенности на представителя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960202">
        <w:rPr>
          <w:rFonts w:ascii="Times New Roman" w:hAnsi="Times New Roman" w:cs="Times New Roman"/>
          <w:sz w:val="24"/>
          <w:szCs w:val="24"/>
          <w:highlight w:val="none"/>
        </w:rPr>
        <w:t xml:space="preserve"> копеек.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</w:p>
    <w:p w:rsidR="00864CA2" w:rsidRPr="00AF7096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7096">
        <w:rPr>
          <w:rFonts w:ascii="Times New Roman" w:hAnsi="Times New Roman" w:cs="Times New Roman"/>
          <w:sz w:val="24"/>
          <w:szCs w:val="24"/>
          <w:highlight w:val="none"/>
        </w:rPr>
        <w:t>Представитель истца</w:t>
      </w:r>
      <w:r w:rsidRPr="00AF7096" w:rsidR="00AF7096">
        <w:rPr>
          <w:rFonts w:ascii="Times New Roman" w:hAnsi="Times New Roman" w:cs="Times New Roman"/>
          <w:sz w:val="24"/>
          <w:szCs w:val="24"/>
          <w:highlight w:val="none"/>
        </w:rPr>
        <w:t>, истец,</w:t>
      </w:r>
      <w:r w:rsidRPr="00AF7096" w:rsidR="00B86AEF">
        <w:rPr>
          <w:rFonts w:ascii="Times New Roman" w:hAnsi="Times New Roman" w:cs="Times New Roman"/>
          <w:sz w:val="24"/>
          <w:szCs w:val="24"/>
          <w:highlight w:val="none"/>
        </w:rPr>
        <w:t xml:space="preserve"> в судебное заседание явил</w:t>
      </w:r>
      <w:r w:rsidRPr="00AF7096" w:rsidR="00AF7096">
        <w:rPr>
          <w:rFonts w:ascii="Times New Roman" w:hAnsi="Times New Roman" w:cs="Times New Roman"/>
          <w:sz w:val="24"/>
          <w:szCs w:val="24"/>
          <w:highlight w:val="none"/>
        </w:rPr>
        <w:t>ись</w:t>
      </w:r>
      <w:r w:rsidRPr="00AF7096" w:rsidR="00B86AEF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Pr="00AF7096" w:rsidR="00D93326">
        <w:rPr>
          <w:rFonts w:ascii="Times New Roman" w:hAnsi="Times New Roman" w:cs="Times New Roman"/>
          <w:sz w:val="24"/>
          <w:szCs w:val="24"/>
          <w:highlight w:val="none"/>
        </w:rPr>
        <w:t>исковые требования поддержал, дал</w:t>
      </w:r>
      <w:r w:rsidRPr="00AF7096" w:rsidR="00B86AEF">
        <w:rPr>
          <w:rFonts w:ascii="Times New Roman" w:hAnsi="Times New Roman" w:cs="Times New Roman"/>
          <w:sz w:val="24"/>
          <w:szCs w:val="24"/>
          <w:highlight w:val="none"/>
        </w:rPr>
        <w:t xml:space="preserve"> объяснения по доводам </w:t>
      </w:r>
      <w:r w:rsidRPr="00AF7096" w:rsidR="00B477CD">
        <w:rPr>
          <w:rFonts w:ascii="Times New Roman" w:hAnsi="Times New Roman" w:cs="Times New Roman"/>
          <w:sz w:val="24"/>
          <w:szCs w:val="24"/>
          <w:highlight w:val="none"/>
        </w:rPr>
        <w:t>и основаниям, изложенным в иске</w:t>
      </w:r>
      <w:r w:rsidRPr="00AF7096" w:rsidR="001D0744"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B477CD" w:rsidRPr="00AF7096" w:rsidP="001D0744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7096">
        <w:rPr>
          <w:rFonts w:ascii="Times New Roman" w:hAnsi="Times New Roman" w:cs="Times New Roman"/>
          <w:sz w:val="24"/>
          <w:szCs w:val="24"/>
          <w:highlight w:val="none"/>
        </w:rPr>
        <w:t>Представитель ответчика в судебное заседание явился, против удовлетворения иска возражал по доводам и основаниям, изложенным в представленных письменных возражениях на иск.</w:t>
      </w:r>
    </w:p>
    <w:p w:rsidR="00B00CE0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7096">
        <w:rPr>
          <w:rFonts w:ascii="Times New Roman" w:hAnsi="Times New Roman" w:cs="Times New Roman"/>
          <w:sz w:val="24"/>
          <w:szCs w:val="24"/>
          <w:highlight w:val="none"/>
        </w:rPr>
        <w:t xml:space="preserve">Заслушав объяснения </w:t>
      </w:r>
      <w:r w:rsidRPr="00AF7096" w:rsidR="00AF7096">
        <w:rPr>
          <w:rFonts w:ascii="Times New Roman" w:hAnsi="Times New Roman" w:cs="Times New Roman"/>
          <w:sz w:val="24"/>
          <w:szCs w:val="24"/>
          <w:highlight w:val="none"/>
        </w:rPr>
        <w:t xml:space="preserve">истца, </w:t>
      </w:r>
      <w:r w:rsidRPr="00AF7096" w:rsidR="0025388F">
        <w:rPr>
          <w:rFonts w:ascii="Times New Roman" w:hAnsi="Times New Roman" w:cs="Times New Roman"/>
          <w:sz w:val="24"/>
          <w:szCs w:val="24"/>
          <w:highlight w:val="none"/>
        </w:rPr>
        <w:t xml:space="preserve">представителя </w:t>
      </w:r>
      <w:r w:rsidRPr="00AF7096" w:rsidR="001D0744">
        <w:rPr>
          <w:rFonts w:ascii="Times New Roman" w:hAnsi="Times New Roman" w:cs="Times New Roman"/>
          <w:sz w:val="24"/>
          <w:szCs w:val="24"/>
          <w:highlight w:val="none"/>
        </w:rPr>
        <w:t>истца</w:t>
      </w:r>
      <w:r w:rsidRPr="00AF7096" w:rsidR="00B477CD">
        <w:rPr>
          <w:rFonts w:ascii="Times New Roman" w:hAnsi="Times New Roman" w:cs="Times New Roman"/>
          <w:sz w:val="24"/>
          <w:szCs w:val="24"/>
          <w:highlight w:val="none"/>
        </w:rPr>
        <w:t>, представителя ответчика</w:t>
      </w:r>
      <w:r w:rsidR="00B477CD">
        <w:rPr>
          <w:rFonts w:ascii="Times New Roman" w:hAnsi="Times New Roman" w:cs="Times New Roman"/>
          <w:sz w:val="24"/>
          <w:szCs w:val="24"/>
          <w:highlight w:val="none"/>
        </w:rPr>
        <w:t>, изучив материалы дела</w:t>
      </w:r>
      <w:r w:rsidRPr="00D93326" w:rsidR="00CF19CA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Pr="00D93326">
        <w:rPr>
          <w:rFonts w:ascii="Times New Roman" w:hAnsi="Times New Roman" w:cs="Times New Roman"/>
          <w:sz w:val="24"/>
          <w:szCs w:val="24"/>
          <w:highlight w:val="none"/>
        </w:rPr>
        <w:t xml:space="preserve">суд </w:t>
      </w:r>
      <w:r w:rsidRPr="00CF19CA">
        <w:rPr>
          <w:rFonts w:ascii="Times New Roman" w:hAnsi="Times New Roman" w:cs="Times New Roman"/>
          <w:sz w:val="24"/>
          <w:szCs w:val="24"/>
          <w:highlight w:val="none"/>
        </w:rPr>
        <w:t>приходит к выводу о том, что исковы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е требования </w:t>
      </w:r>
      <w:r w:rsidR="001341A5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25388F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="0025388F">
        <w:rPr>
          <w:rFonts w:ascii="Times New Roman" w:hAnsi="Times New Roman" w:cs="Times New Roman"/>
          <w:sz w:val="24"/>
          <w:szCs w:val="24"/>
          <w:highlight w:val="none"/>
        </w:rPr>
        <w:t xml:space="preserve"> Владимира Дмитриевича</w:t>
      </w:r>
      <w:r w:rsidR="00B477CD">
        <w:rPr>
          <w:rFonts w:ascii="Times New Roman" w:hAnsi="Times New Roman" w:cs="Times New Roman"/>
          <w:sz w:val="24"/>
          <w:szCs w:val="24"/>
          <w:highlight w:val="none"/>
        </w:rPr>
        <w:t xml:space="preserve"> не</w:t>
      </w:r>
      <w:r w:rsidR="001341A5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31736B">
        <w:rPr>
          <w:rFonts w:ascii="Times New Roman" w:hAnsi="Times New Roman" w:cs="Times New Roman"/>
          <w:sz w:val="24"/>
          <w:szCs w:val="24"/>
          <w:highlight w:val="none"/>
        </w:rPr>
        <w:t>подлежат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удовлетворению.</w:t>
      </w:r>
    </w:p>
    <w:p w:rsidR="00B00CE0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При этом суд исходит из следующего.</w:t>
      </w:r>
    </w:p>
    <w:p w:rsidR="007B3A50" w:rsidRPr="00184C98" w:rsidP="007B3A5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 В силу статьи</w:t>
      </w:r>
      <w:r w:rsidRPr="00184C98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854 ГК РФ,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с</w:t>
      </w:r>
      <w:r w:rsidRPr="00184C98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писание денежных средств со счета осуществляется банком на основании распоряжения клиента.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</w:t>
      </w:r>
      <w:r w:rsidRPr="00184C98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:rsidR="007B3A50" w:rsidP="007B3A5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 Согласно статьи</w:t>
      </w:r>
      <w:r w:rsidRPr="00184C98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858 ГК РФ,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о</w:t>
      </w:r>
      <w:r w:rsidRPr="00184C98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граничение прав клиента на распоряжение денежными средствами, находящимися на счете, не допускается. </w:t>
      </w:r>
    </w:p>
    <w:p w:rsidR="007B3A50" w:rsidRPr="006B46DF" w:rsidP="007B3A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6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В силу статьи 431 ГК РФ,</w:t>
      </w:r>
      <w:r w:rsidRPr="006B46DF"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 при толковании условий договора судом принимается во внимание буквальное значение содержащихся в нем слов и выражений. Буквальное значение условия договора в случае его неясности устанавливается путем сопоставления с другими условиями и смыслом договора в целом.</w:t>
      </w:r>
    </w:p>
    <w:p w:rsidR="007B3A50" w:rsidRPr="00184C98" w:rsidP="007B3A50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Согласно части 3 статьи 847 ГК РФ, д</w:t>
      </w:r>
      <w:r w:rsidRPr="00184C98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</w:t>
      </w:r>
      <w:r>
        <w:fldChar w:fldCharType="begin"/>
      </w:r>
      <w:r>
        <w:rPr>
          <w:highlight w:val="none"/>
        </w:rPr>
        <w:instrText xml:space="preserve"> HYPERLINK "consultantplus://offline/ref=CA89F2D48E477D19D58E72E1A90492661FA220DB4F090E223B5CAEA22979D8AB85046F31546859EFx6d1L" </w:instrText>
      </w:r>
      <w:r>
        <w:fldChar w:fldCharType="separate"/>
      </w:r>
      <w:r w:rsidRPr="00184C98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статьи 160),</w:t>
      </w:r>
      <w:r>
        <w:fldChar w:fldCharType="end"/>
      </w:r>
      <w:r w:rsidRPr="00184C98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кодов, паролей и иных средств, подтверждающих, что распоряжение дано уполномоченным на это лицом.</w:t>
      </w:r>
    </w:p>
    <w:p w:rsidR="007B3A50" w:rsidP="007B3A50">
      <w:pPr>
        <w:pStyle w:val="NoSpacing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32561">
        <w:rPr>
          <w:rFonts w:ascii="Times New Roman" w:hAnsi="Times New Roman" w:cs="Times New Roman"/>
          <w:sz w:val="24"/>
          <w:szCs w:val="24"/>
          <w:highlight w:val="none"/>
          <w:lang w:eastAsia="ru-RU"/>
        </w:rPr>
        <w:t>Согласно пункту 21 Постановления Пленума Верховного Суда РФ № 13, Пленума Высшего Арбитражного Суда РФ № 14 от 08 октября 1998 года «О практике применения положений Гражданского кодекса РФ о процентах за пользование чужими денежными средствами, под необоснованным списанием банком денежных средств понимается списание,</w:t>
      </w:r>
      <w:r w:rsidRPr="00132561"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 xml:space="preserve"> произведенное в сумме, большей, чем предусматривалось платежным документом, а также списание без соответствующего платежного документа либо с нарушением требований законодательства.</w:t>
      </w:r>
    </w:p>
    <w:p w:rsidR="0082463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Согласно пункту 1.5 Условий банковского обслуживания физических лиц ПАО Сбербанк</w:t>
      </w:r>
      <w:r w:rsidR="00A5722C">
        <w:rPr>
          <w:rFonts w:ascii="Times New Roman" w:hAnsi="Times New Roman" w:cs="Times New Roman"/>
          <w:sz w:val="24"/>
          <w:szCs w:val="24"/>
          <w:highlight w:val="none"/>
        </w:rPr>
        <w:t xml:space="preserve"> (далее по тексту – Условия)</w:t>
      </w:r>
      <w:r>
        <w:rPr>
          <w:rFonts w:ascii="Times New Roman" w:hAnsi="Times New Roman" w:cs="Times New Roman"/>
          <w:sz w:val="24"/>
          <w:szCs w:val="24"/>
          <w:highlight w:val="none"/>
        </w:rPr>
        <w:t>, Клиенту предоставляется возможность проведения банковских операций через устройства самообслуживания</w:t>
      </w:r>
    </w:p>
    <w:p w:rsidR="0025388F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A50">
        <w:rPr>
          <w:rFonts w:ascii="Times New Roman" w:hAnsi="Times New Roman" w:cs="Times New Roman"/>
          <w:sz w:val="24"/>
          <w:szCs w:val="24"/>
          <w:highlight w:val="none"/>
        </w:rPr>
        <w:t>Согласно пункту 2.43 данных Условий, Устройства самообслуживания Банка (УС) – банкомат, информационно-платежный терминал –</w:t>
      </w:r>
      <w:r w:rsidR="00A5722C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7B3A50">
        <w:rPr>
          <w:rFonts w:ascii="Times New Roman" w:hAnsi="Times New Roman" w:cs="Times New Roman"/>
          <w:sz w:val="24"/>
          <w:szCs w:val="24"/>
          <w:highlight w:val="none"/>
        </w:rPr>
        <w:t>электронный программно-технический комплекс, предназначенный для совершения без участия работника Банка операций выдачи (приема) наличных денежных средств, в том числе с использованием платежных Карт, передачи распоряжений Клиента о перечислении денежных средств с Банковского счета Клиента и др.</w:t>
      </w:r>
    </w:p>
    <w:p w:rsidR="007B3A50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В силу пункта 3.7 Приложения № 1 к Условиям, документы, оформляемые при совершении операций с использованием Карты, могут быть подписаны личной подписью Держателя, либо составлены с использованием реквизитов Карты (номера Карты), а также Аналога собственноручной подписи Держателя: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ПИНа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Постоянного пароля/Одноразового пароля. Использование Карты и правильного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ПИНа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Постоянного пароля/Одноразового пароля, реквизитов Карты (номера Карты) при проведении операции является надлежащим подтверждением того, что распоряжение на проведение операции по Счету Карты составлено Клиентом. </w:t>
      </w:r>
    </w:p>
    <w:p w:rsidR="007B3A50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Согласно пункту 4.9 Условий,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Условиями банковского обслуживания. Клиент поручает Банку составлять и подписывать расчетные документы, необходимые для осуществления операций по перечислению денежных средств со Счета/вклада, на основании указанных документов. Операция</w:t>
      </w:r>
    </w:p>
    <w:p w:rsidR="007518B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В силу пункта 4.14 Условий, предоставление услуг, предусмотренных Условиями банковского обслуживания, осуществляется только в случае успешной Идентификации и Аутентификации Клиента. </w:t>
      </w:r>
    </w:p>
    <w:p w:rsidR="007B3A50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пункту </w:t>
      </w:r>
      <w:r w:rsidRPr="00A5722C" w:rsidR="007518B2">
        <w:rPr>
          <w:rFonts w:ascii="Times New Roman" w:hAnsi="Times New Roman" w:cs="Times New Roman"/>
          <w:sz w:val="24"/>
          <w:szCs w:val="24"/>
          <w:highlight w:val="none"/>
        </w:rPr>
        <w:t>2.1 Условий</w:t>
      </w:r>
      <w:r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Pr="00A5722C" w:rsidR="007518B2">
        <w:rPr>
          <w:rFonts w:ascii="Times New Roman" w:hAnsi="Times New Roman" w:cs="Times New Roman"/>
          <w:sz w:val="24"/>
          <w:szCs w:val="24"/>
          <w:highlight w:val="none"/>
        </w:rPr>
        <w:t xml:space="preserve"> Аутентификация – удостоверение правомочности обращения Клиента (доверенного лица Клиента) в Банк, в том числе при обращении по телефону, для совершения операций и/или получения информации по Счетам/вкладам и другим продуктам в Банке в порядке, предусмотренном Условиями банковского обслуживания.</w:t>
      </w:r>
    </w:p>
    <w:p w:rsidR="007518B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пункту 2.15 Условий,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Идентификация – установление личности Клиента (доверенного лица Клиента) при его обращении в Банк для совершения банковских операций или получения информации по Счетам Клиента в порядке, предусмотренном Условиями банковского обслуживания.</w:t>
      </w:r>
    </w:p>
    <w:p w:rsidR="007518B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пункту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2.30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Условий,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Средства доступа – набор средств, выдаваемых/определяемых Банком для Идентификации и Аутентификации Клиента через Удаленные каналы обслуживания. К Средствам доступа к Системе «Сбербанк Онлайн»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относятся Идентификатор пользователя и/или Логин, Постоянный пароль, Одноразовые пароли. К Средствам доступа к Услуге «Мобильный банк» – номер мобильного телефона, в Контактный Центр Банка – Контрольная информация Клиента, Код клиента и/или персональные данные Клиента, содержащиеся в Базе данных Банка, в устройствах самообслуживания – Карта и ПИН. </w:t>
      </w:r>
    </w:p>
    <w:p w:rsidR="007518B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силу пункта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4.15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Условий, п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ри предоставлении услуг в рамках ДБО Идентификация Клиента Банком осуществляется: - при проведении операции через Подразделения Банка - на основании предъявленной Клиентом Карты и/или на основании документа, удостоверяющего личность Клиента; Клиент считается идентифицированным в случае соответствия информации, нанесенной на Карту (магнитную полосу Карты, микропроцессор Карты, лицевую сторону Карты), и/или соответствия реквизитов документа, удостоверяющего личность, информации, содержащейся в Базе данных Банка; </w:t>
      </w:r>
    </w:p>
    <w:p w:rsidR="007518B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Согласно пункту 4.16, п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ри предоставлении услуг в рамках ДБО Аутентификация Клиента Банком осуществляется: - при проведении операции через Подразделения Банка - на основании ввода правильного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ПИНа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или кодов, сформированных на основании биометрических данных Держателя Карты, и/или на основании документа, у</w:t>
      </w:r>
      <w:r>
        <w:rPr>
          <w:rFonts w:ascii="Times New Roman" w:hAnsi="Times New Roman" w:cs="Times New Roman"/>
          <w:sz w:val="24"/>
          <w:szCs w:val="24"/>
          <w:highlight w:val="none"/>
        </w:rPr>
        <w:t>достоверяющего личность Клиента.</w:t>
      </w:r>
    </w:p>
    <w:p w:rsidR="00B77EE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В соответствии с пунктом 3.</w:t>
      </w:r>
      <w:r w:rsidR="007518B2">
        <w:rPr>
          <w:rFonts w:ascii="Times New Roman" w:hAnsi="Times New Roman" w:cs="Times New Roman"/>
          <w:sz w:val="24"/>
          <w:szCs w:val="24"/>
          <w:highlight w:val="none"/>
        </w:rPr>
        <w:t>9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приложения № 1 к Условиям, держатель карты обязуется: не сообщать ПИН, постоянный пароль, одноразовые пароли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утраты, повреждения, повреждения, хищения карты; нести ответственность</w:t>
      </w:r>
      <w:r w:rsidR="00132561">
        <w:rPr>
          <w:rFonts w:ascii="Times New Roman" w:hAnsi="Times New Roman" w:cs="Times New Roman"/>
          <w:sz w:val="24"/>
          <w:szCs w:val="24"/>
          <w:highlight w:val="none"/>
        </w:rPr>
        <w:t xml:space="preserve"> по операциям, совершенным с использованием ПИН-кода, кодов, сформированных на основании биометрических </w:t>
      </w:r>
      <w:r w:rsidRPr="00A5722C" w:rsidR="00132561">
        <w:rPr>
          <w:rFonts w:ascii="Times New Roman" w:hAnsi="Times New Roman" w:cs="Times New Roman"/>
          <w:sz w:val="24"/>
          <w:szCs w:val="24"/>
          <w:highlight w:val="none"/>
        </w:rPr>
        <w:t>данных Держателя карты, постоянного пароля, о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дноразовых паролей; не совершать операции с использованием реквизитов Карты после ее сдачи в Банк или после истечения срока ее действия, а также К</w:t>
      </w:r>
      <w:r w:rsidR="00A5722C">
        <w:rPr>
          <w:rFonts w:ascii="Times New Roman" w:hAnsi="Times New Roman" w:cs="Times New Roman"/>
          <w:sz w:val="24"/>
          <w:szCs w:val="24"/>
          <w:highlight w:val="none"/>
        </w:rPr>
        <w:t>арты, заявленной как утраченная.</w:t>
      </w:r>
    </w:p>
    <w:p w:rsidR="00B77EE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пункту 3.10 Приложения № 1 к Условиям, если информация о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ПИНе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реквизитах Карты, Постоянном пароле/Одноразовом пароле стала доступной третьим лицам, а также в случае возникновения риска несанкционированного использования Карты, реквизитов Карты,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ПИНа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Постоянного пароля, Одноразовых паролей, номера мобильного телефона Держателя, подключенного к Услуге «Мобильный банк», Держатель должен немедленно сообщить об этом в Банк по телефонам, указанным в Памятке Держателя. Для дальнейшего использования Карты Держателю основной Карты необходимо подать заявление на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перевыпуск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Карты в Подразделение Банка или через Удаленные каналы обслуживания (Система «Сбербанк Онлайн», Контактный Центр Банка).</w:t>
      </w:r>
    </w:p>
    <w:p w:rsidR="00B77EE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пункту 3.11 Приложения № 1 к Условиям, в случае утраты Карты, Держатель должен немедленно выполнить одно из следующих действий, необходимых для Блокировки Карты: - Сообщить об утрате Карты в Банк по телефонам, указанным в Памятке Держателя, и следовать полученным инструкциям. Уведомление Держателя считается полученным в момент завершения телефонного разговора с оператором Контактного Центра Банка, в ходе которого Держатель предоставил всю необходимую информацию для выполнения Блокировки Карты. - Подать в Подразделение Банка письменное заявление об утрате Карты. - Если Карта подключена к Услуге «Мобильный банк» – выполнить действия, необходимые для Блокировки Карты в соответствии с Руководством по использованию «Мобильного банка». - При наличии доступа в Систему «Сбербанк Онлайн» выполнить действия, необходимые для Блокировки Карты в соответствии с Руководством по использованию «Сбербанк Онлайн». </w:t>
      </w:r>
    </w:p>
    <w:p w:rsidR="00B77EE2" w:rsidRPr="00A5722C" w:rsidP="00B77EE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Согласно пункту 3.11 Приложения № 1 к Условиям, клиент несет ответственность за все операции с Картой (реквизитами Карты), совершенные до момента получения Банком уведомления об утрате Карты в соответствии с п.3.11 Условий.</w:t>
      </w:r>
    </w:p>
    <w:p w:rsidR="00B77EE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В силу пункта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4.17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Условий, К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лиент соглашается с тем, что применяемые при совершении операций в рамках ДБО методы Идентификации и Аутентификации являются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достаточными и надлежащим образом подтверждают права Банка на проведение операций и предоставление информации по Счетам, вкладам, ОМС Клиента.</w:t>
      </w:r>
    </w:p>
    <w:p w:rsidR="00B77EE2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В силу пункта </w:t>
      </w:r>
      <w:r w:rsidRPr="00A5722C" w:rsidR="001508CF">
        <w:rPr>
          <w:rFonts w:ascii="Times New Roman" w:hAnsi="Times New Roman" w:cs="Times New Roman"/>
          <w:sz w:val="24"/>
          <w:szCs w:val="24"/>
          <w:highlight w:val="none"/>
        </w:rPr>
        <w:t xml:space="preserve">2.35 Условий,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Электронный документ – документ, сформированный с использованием автоматизированных систем Банка и содержащий в электронной форме: - распоряжение Клиента Банку на совершение операций по Счетам Кли</w:t>
      </w:r>
      <w:r w:rsidRPr="00A5722C" w:rsidR="001508CF">
        <w:rPr>
          <w:rFonts w:ascii="Times New Roman" w:hAnsi="Times New Roman" w:cs="Times New Roman"/>
          <w:sz w:val="24"/>
          <w:szCs w:val="24"/>
          <w:highlight w:val="none"/>
        </w:rPr>
        <w:t xml:space="preserve">ента или иных операций, и/или информацию об операциях, совершаемых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Клиентом в </w:t>
      </w:r>
      <w:r w:rsidRPr="00A5722C" w:rsidR="001508CF">
        <w:rPr>
          <w:rFonts w:ascii="Times New Roman" w:hAnsi="Times New Roman" w:cs="Times New Roman"/>
          <w:sz w:val="24"/>
          <w:szCs w:val="24"/>
          <w:highlight w:val="none"/>
        </w:rPr>
        <w:t>п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одразделениях Банка в рамках </w:t>
      </w:r>
      <w:r w:rsidRPr="00A5722C" w:rsidR="001508CF">
        <w:rPr>
          <w:rFonts w:ascii="Times New Roman" w:hAnsi="Times New Roman" w:cs="Times New Roman"/>
          <w:sz w:val="24"/>
          <w:szCs w:val="24"/>
          <w:highlight w:val="none"/>
        </w:rPr>
        <w:t>договора банковского обслуживания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3C04B3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В силу пункта 1.8 Условий, при проведении Клиентом операций в подразделении Банка при наличии технической возможности и по желанию Клиента допускается использование электронной подписи в порядке и на условиях, предусмотренных Соглашением об использовании электронной подписи. Правила электронного взаимодействия и Заявления на банковское обслуживание в совокупности является заключенным между Клиентом и Банком Соглашением об использовании электронной подписи.</w:t>
      </w:r>
    </w:p>
    <w:p w:rsidR="00C92016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пункту 2 Приложения № 4 к Условиям, при проведении Клиентом операций в подразделении Банка при наличии технической возможности и по желанию Клиента допускается формирование и подписание документов между Клиентом и Банком в электронном виде. При этом документы в электронном виде подписываются клиентом простой электронной подписью Клиента, формируемой посредством использования Клиентом банковской карты, выпущенной Банком и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ПИНа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и включаемой в электронный документ.</w:t>
      </w:r>
    </w:p>
    <w:p w:rsidR="004546AD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Согласно пункту 4 Правил электронного взаимодействия Стороны признают, что в рамках настоящих Правил: информация в электронной форме, подписанная простой электронной подписью со стороны Клиента и\или усиленной неквалифицированной электронной подписью со стороны Банка, признается электронным документом</w:t>
      </w:r>
      <w:r w:rsidRPr="00A5722C" w:rsidR="00CA48A5">
        <w:rPr>
          <w:rFonts w:ascii="Times New Roman" w:hAnsi="Times New Roman" w:cs="Times New Roman"/>
          <w:sz w:val="24"/>
          <w:szCs w:val="24"/>
          <w:highlight w:val="none"/>
        </w:rPr>
        <w:t>, равнозначным документу на бумажном носителе, подписанному собственноручной подписью Клиента и\или Банка соответственно, порождает аналогичные документу на бумажном носителе права и обязанности Клиента и Банка и может служить доказательством в суде.</w:t>
      </w:r>
      <w:r w:rsidRPr="00A5722C" w:rsidR="00C32581">
        <w:rPr>
          <w:rFonts w:ascii="Times New Roman" w:hAnsi="Times New Roman" w:cs="Times New Roman"/>
          <w:sz w:val="24"/>
          <w:szCs w:val="24"/>
          <w:highlight w:val="none"/>
        </w:rPr>
        <w:t xml:space="preserve"> Для определения лица, подписывающего электронный документ простой электронной подписью, в состав подписи включаются сведения о фамилии, имени и отче</w:t>
      </w:r>
      <w:r w:rsidRPr="00A5722C" w:rsidR="00BD230E">
        <w:rPr>
          <w:rFonts w:ascii="Times New Roman" w:hAnsi="Times New Roman" w:cs="Times New Roman"/>
          <w:sz w:val="24"/>
          <w:szCs w:val="24"/>
          <w:highlight w:val="none"/>
        </w:rPr>
        <w:t>ст</w:t>
      </w:r>
      <w:r w:rsidRPr="00A5722C" w:rsidR="00C32581">
        <w:rPr>
          <w:rFonts w:ascii="Times New Roman" w:hAnsi="Times New Roman" w:cs="Times New Roman"/>
          <w:sz w:val="24"/>
          <w:szCs w:val="24"/>
          <w:highlight w:val="none"/>
        </w:rPr>
        <w:t xml:space="preserve">ве Клиента и маскированном номере Карты, использовавшейся при формировании подписи, коде авторизации, подтверждающем правильность ввода </w:t>
      </w:r>
      <w:r w:rsidRPr="00A5722C" w:rsidR="00C32581">
        <w:rPr>
          <w:rFonts w:ascii="Times New Roman" w:hAnsi="Times New Roman" w:cs="Times New Roman"/>
          <w:sz w:val="24"/>
          <w:szCs w:val="24"/>
          <w:highlight w:val="none"/>
        </w:rPr>
        <w:t>ПИНа</w:t>
      </w:r>
      <w:r w:rsidRPr="00A5722C" w:rsidR="00C32581"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B86F15" w:rsidP="00B86F15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Как было установлено судом, </w:t>
      </w:r>
      <w:r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Владимир Дмитриевич является владельцем счета вклада «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», счет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 открытый 18 июля 2011 года в рублях РФ; владельцем счета вклада «Особый Управляй», счет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(далее по тексту банковский вклад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), открытый 12 апреля 2016 года в рублях РФ; держателем банковской карты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– с 22 апреля 2016 года (далее по тексту – банковская карта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), после </w:t>
      </w:r>
      <w:r>
        <w:rPr>
          <w:rFonts w:ascii="Times New Roman" w:hAnsi="Times New Roman" w:cs="Times New Roman"/>
          <w:sz w:val="24"/>
          <w:szCs w:val="24"/>
          <w:highlight w:val="none"/>
        </w:rPr>
        <w:t>перевыпуска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банковская карта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>Maestro</w:t>
      </w:r>
      <w:r w:rsidRPr="0082463C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Социальная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 счет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№ 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>, открытый в рублях РФ.</w:t>
      </w:r>
    </w:p>
    <w:p w:rsidR="00A87B11" w:rsidRPr="0082463C" w:rsidP="00B86F15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Согласно журналам банкомата, отчетам по банковским картам</w:t>
      </w:r>
      <w:r w:rsidR="00F13FDC">
        <w:rPr>
          <w:rFonts w:ascii="Times New Roman" w:hAnsi="Times New Roman" w:cs="Times New Roman"/>
          <w:sz w:val="24"/>
          <w:szCs w:val="24"/>
          <w:highlight w:val="none"/>
        </w:rPr>
        <w:t>:</w:t>
      </w:r>
    </w:p>
    <w:p w:rsidR="003C04B3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 w:rsidR="00EA0AF0">
        <w:rPr>
          <w:rFonts w:ascii="Times New Roman" w:hAnsi="Times New Roman" w:cs="Times New Roman"/>
          <w:sz w:val="24"/>
          <w:szCs w:val="24"/>
          <w:highlight w:val="none"/>
        </w:rPr>
        <w:t xml:space="preserve">18 апреля 2016 года </w:t>
      </w:r>
      <w:r w:rsidRPr="00A5722C" w:rsidR="00EA0AF0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 w:rsidR="00EA0AF0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EA0AF0">
        <w:rPr>
          <w:rFonts w:ascii="Times New Roman" w:hAnsi="Times New Roman" w:cs="Times New Roman"/>
          <w:sz w:val="24"/>
          <w:szCs w:val="24"/>
          <w:highlight w:val="none"/>
        </w:rPr>
        <w:t xml:space="preserve"> ПАО Сбербанк по адресу: г.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EA0AF0">
        <w:rPr>
          <w:rFonts w:ascii="Times New Roman" w:hAnsi="Times New Roman" w:cs="Times New Roman"/>
          <w:sz w:val="24"/>
          <w:szCs w:val="24"/>
          <w:highlight w:val="none"/>
        </w:rPr>
        <w:t xml:space="preserve">, ул.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EA0AF0">
        <w:rPr>
          <w:rFonts w:ascii="Times New Roman" w:hAnsi="Times New Roman" w:cs="Times New Roman"/>
          <w:sz w:val="24"/>
          <w:szCs w:val="24"/>
          <w:highlight w:val="none"/>
        </w:rPr>
        <w:t xml:space="preserve">, д.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EA0AF0">
        <w:rPr>
          <w:rFonts w:ascii="Times New Roman" w:hAnsi="Times New Roman" w:cs="Times New Roman"/>
          <w:sz w:val="24"/>
          <w:szCs w:val="24"/>
          <w:highlight w:val="none"/>
        </w:rPr>
        <w:t xml:space="preserve">, корп.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EA0AF0">
        <w:rPr>
          <w:rFonts w:ascii="Times New Roman" w:hAnsi="Times New Roman" w:cs="Times New Roman"/>
          <w:sz w:val="24"/>
          <w:szCs w:val="24"/>
          <w:highlight w:val="none"/>
        </w:rPr>
        <w:t xml:space="preserve">, используя банковскую карту 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>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, введя ПИН-код к данной карте, осуществил перевод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рублей со своего банковского вклада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на свою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. Далее, 18 апреля 2016 года 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ПАО Сбербанк по адресу: г.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, ул.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, д.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>корп.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>, используя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>, введя ПИН-код к данной карте, получил с банковской карты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наличные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рублей 00 копеек.</w:t>
      </w:r>
    </w:p>
    <w:p w:rsidR="00B86F15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19 апреля 2016 года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ПАО Сбербанк по адресу: г.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пр-т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д.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, используя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введя ПИН-код к данной карте, осуществил перевод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 xml:space="preserve">ХХХ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рублей со своего банковского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вклада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 свою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а затем получил с данной банковской карты наличные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копеек.</w:t>
      </w:r>
    </w:p>
    <w:p w:rsidR="00B86F15" w:rsidRPr="00A5722C" w:rsidP="00B86F15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20 апреля 2016 года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ПАО Сбербанк по адресу: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г.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ул.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д.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корп.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, используя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введя ПИН-код к данной карте, осуществил перевод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со своего банковского вклада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 свою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а затем получил с данной банковской карты наличные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копеек.</w:t>
      </w:r>
    </w:p>
    <w:p w:rsidR="00B86F15" w:rsidRPr="00A5722C" w:rsidP="00B86F15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22 апреля 2016 года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 ПАО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Сбербанк по адресу: г.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ул.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д.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корп.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, используя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введя ПИН-код к данной карте, осуществил перевод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со своего банковского вклада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 свою банковскую карту № 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а затем получил с данной банковской карты наличные в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размере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копеек.</w:t>
      </w:r>
    </w:p>
    <w:p w:rsidR="00A87B11" w:rsidRPr="00A5722C" w:rsidP="00B86F15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22 апреля 2016 года 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 xml:space="preserve">ХХХ 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АО Сбербанк по адресу: г.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д.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, используя банковскую карту № ****1347, введя ПИН-код к данной карте, осуществил 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>перевод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рублей со свое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й банковской карты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 банковскую карту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а также перевел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со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своего 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банковского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вклада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 w:rsidR="00B86F15">
        <w:rPr>
          <w:rFonts w:ascii="Times New Roman" w:hAnsi="Times New Roman" w:cs="Times New Roman"/>
          <w:sz w:val="24"/>
          <w:szCs w:val="24"/>
          <w:highlight w:val="none"/>
        </w:rPr>
        <w:t xml:space="preserve"> на свою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A87B11" w:rsidRPr="00A5722C" w:rsidP="00B86F15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24 апреля 2016 года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ПАО Сбербанк по адресу: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г.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бульвар,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, используя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, введя ПИН-код к данной карте, получил с банковской карты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наличные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00 копеек.</w:t>
      </w:r>
    </w:p>
    <w:p w:rsidR="00A87B11" w:rsidRPr="00A5722C" w:rsidP="00A87B1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24 апреля 2016 года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ПАО Сбербанк по адресу: г.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ул.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д.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корп.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используя банковскую карту № ****7904, введя ПИН-код к данной карте, осуществил перевод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со своего банковского вклада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 свою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а также получил с данной банковской карты наличные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копеек.</w:t>
      </w:r>
    </w:p>
    <w:p w:rsidR="00A87B11" w:rsidRPr="00A5722C" w:rsidP="00A87B1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27 апреля 2016 года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ПАО Сбербанк по адресу: г.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бульвар,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, используя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введя ПИН-код к данной карте, перевел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копеек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со своей банковской карты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 счет вклада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а также перевел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копеек со своего банковского вклада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 свою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A87B11" w:rsidRPr="00A5722C" w:rsidP="00A87B1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27 апреля 2016 года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В.Д. через устройство самообслуживания №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ПАО Сбербанк по адресу: г.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бульвар,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, используя банковскую карту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, введя ПИН-код к данной карте, получил со своей банковской карты № ****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наличные в размере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рублей </w:t>
      </w:r>
      <w:r w:rsidR="00BC0E06">
        <w:rPr>
          <w:rFonts w:ascii="Times New Roman" w:hAnsi="Times New Roman" w:cs="Times New Roman"/>
          <w:sz w:val="24"/>
          <w:szCs w:val="24"/>
          <w:highlight w:val="none"/>
        </w:rPr>
        <w:t xml:space="preserve">ХХХ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копеек.</w:t>
      </w:r>
    </w:p>
    <w:p w:rsidR="00B86F15" w:rsidRPr="00A5722C" w:rsidP="00970A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Суд приходит к выводу о том, что со стороны ответчика не имело место действий, нарушивших законные права и интересы истца, совершенные 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>истцом операции</w:t>
      </w:r>
      <w:r w:rsidRPr="00A5722C">
        <w:rPr>
          <w:rFonts w:ascii="Times New Roman" w:hAnsi="Times New Roman" w:cs="Times New Roman"/>
          <w:sz w:val="24"/>
          <w:szCs w:val="24"/>
          <w:highlight w:val="none"/>
        </w:rPr>
        <w:t xml:space="preserve"> осуществлялись на основании введения банковских карт и ввода верных ПИН-кодов к данным картам в устройства самообслуживания.</w:t>
      </w:r>
    </w:p>
    <w:p w:rsidR="00B86F15" w:rsidP="00970AD8">
      <w:pPr>
        <w:pStyle w:val="NoSpacing"/>
        <w:ind w:firstLine="708"/>
        <w:jc w:val="both"/>
        <w:rPr>
          <w:color w:val="FF0000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Условиям банковского обслуживания физических лиц ПАО Сбербанк, клиент несет ответственность за все операции, проводимые в подразделениях Банка через устройства самообслуживания с использованием предусмотренных Условиями банковского обслуживания средств его идентификации и аутентификации (п. 5.9), также </w:t>
      </w:r>
      <w:r w:rsidR="00371131">
        <w:rPr>
          <w:rFonts w:ascii="Times New Roman" w:hAnsi="Times New Roman" w:cs="Times New Roman"/>
          <w:sz w:val="24"/>
          <w:szCs w:val="24"/>
          <w:highlight w:val="none"/>
        </w:rPr>
        <w:t>клиент обязуется не сообщать ПИН и контрольную информацию, не передавать карту (ее реквизиты) для совершения операций третьими лицами, предпринимать необходимые меры для предотвращения утраты, повреждения, хищения карты</w:t>
      </w:r>
      <w:r w:rsidR="009C598B">
        <w:rPr>
          <w:rFonts w:ascii="Times New Roman" w:hAnsi="Times New Roman" w:cs="Times New Roman"/>
          <w:sz w:val="24"/>
          <w:szCs w:val="24"/>
          <w:highlight w:val="none"/>
        </w:rPr>
        <w:t>, нести ответственность по операциям, совершенным с использованием ПИН-кода и т.д., не совершать операции с использованием реквизитов карты после сдачи ее в Банк или после истечения срока ее действия</w:t>
      </w:r>
      <w:r w:rsidR="00371131">
        <w:rPr>
          <w:rFonts w:ascii="Times New Roman" w:hAnsi="Times New Roman" w:cs="Times New Roman"/>
          <w:sz w:val="24"/>
          <w:szCs w:val="24"/>
          <w:highlight w:val="none"/>
        </w:rPr>
        <w:t xml:space="preserve"> (п. 1.2 и 3.9 Приложения № 1 к Условиям, п. 1.14 Условий)</w:t>
      </w:r>
    </w:p>
    <w:p w:rsidR="006B46DF" w:rsidP="006B46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2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В соответствии со </w:t>
      </w:r>
      <w:r>
        <w:fldChar w:fldCharType="begin"/>
      </w:r>
      <w:r>
        <w:rPr>
          <w:highlight w:val="none"/>
        </w:rPr>
        <w:instrText xml:space="preserve"> HYPERLINK "consultantplus://offline/main?base=LAW;n=102964;fld=134;dst=100053" </w:instrText>
      </w:r>
      <w:r>
        <w:fldChar w:fldCharType="separate"/>
      </w:r>
      <w:r w:rsidRPr="001E62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статьями 12</w:t>
      </w:r>
      <w:r>
        <w:fldChar w:fldCharType="end"/>
      </w:r>
      <w:r w:rsidRPr="001E62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"consultantplus://offline/main?base=LAW;n=102964;fld=134;dst=100260" </w:instrText>
      </w:r>
      <w:r>
        <w:fldChar w:fldCharType="separate"/>
      </w:r>
      <w:r w:rsidRPr="001E62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56</w:t>
      </w:r>
      <w:r>
        <w:fldChar w:fldCharType="end"/>
      </w:r>
      <w:r w:rsidRPr="001E62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ГПК РФ, гражданское судопроизводство осуществляется на основе состязательности и равноправия сторон; каждая сторона должна </w:t>
      </w:r>
      <w:r w:rsidRPr="001E62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доказать те обстоятельства, на которые она ссылается как на основания своих требований и возражений. </w:t>
      </w:r>
    </w:p>
    <w:p w:rsidR="009C598B" w:rsidP="006B46DF">
      <w:pPr>
        <w:pStyle w:val="NoSpacing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 xml:space="preserve">Истцом </w:t>
      </w:r>
      <w:r w:rsidR="00132561"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>не было предоставлено суду доказательств наличия вины ПАО «Сбербанк России»</w:t>
      </w:r>
      <w:r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 xml:space="preserve"> в незаконном списании денежных средств, напротив, как было установлено судом, списание денежных средств </w:t>
      </w:r>
      <w:r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 xml:space="preserve">были инициировано </w:t>
      </w:r>
      <w:r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>Пронь</w:t>
      </w:r>
      <w:r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 xml:space="preserve"> В.Д., о чем говорит совершение соответствующих операций с использованием карт и ПИН-кодов к ним.</w:t>
      </w:r>
    </w:p>
    <w:p w:rsidR="006B46DF" w:rsidRPr="006B46DF" w:rsidP="006B46DF">
      <w:pPr>
        <w:pStyle w:val="NoSpacing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 xml:space="preserve">При таких обстоятельствах, законные основания для удовлетворения иска </w:t>
      </w:r>
      <w:r w:rsidR="009C598B"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>Пронь</w:t>
      </w:r>
      <w:r w:rsidR="009C598B"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 xml:space="preserve"> В.Д.</w:t>
      </w:r>
      <w:r>
        <w:rPr>
          <w:rFonts w:ascii="Times New Roman" w:hAnsi="Times New Roman" w:cs="Times New Roman"/>
          <w:bCs/>
          <w:color w:val="000000"/>
          <w:sz w:val="24"/>
          <w:szCs w:val="24"/>
          <w:highlight w:val="none"/>
        </w:rPr>
        <w:t xml:space="preserve"> в части требований об обязании ответчика осуществить возврат денежных средств</w:t>
      </w:r>
      <w:r>
        <w:rPr>
          <w:rFonts w:ascii="Times New Roman" w:hAnsi="Times New Roman" w:cs="Times New Roman"/>
          <w:sz w:val="24"/>
          <w:szCs w:val="24"/>
          <w:highlight w:val="none"/>
        </w:rPr>
        <w:t>– отсутствуют.</w:t>
      </w:r>
    </w:p>
    <w:p w:rsidR="00B12AD4" w:rsidP="006B46D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6DF">
        <w:rPr>
          <w:rFonts w:ascii="Times New Roman" w:hAnsi="Times New Roman" w:cs="Times New Roman"/>
          <w:sz w:val="24"/>
          <w:szCs w:val="24"/>
          <w:highlight w:val="none"/>
        </w:rPr>
        <w:t xml:space="preserve">Иск </w:t>
      </w:r>
      <w:r w:rsidR="009C598B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="009C598B">
        <w:rPr>
          <w:rFonts w:ascii="Times New Roman" w:hAnsi="Times New Roman" w:cs="Times New Roman"/>
          <w:sz w:val="24"/>
          <w:szCs w:val="24"/>
          <w:highlight w:val="none"/>
        </w:rPr>
        <w:t xml:space="preserve"> В.Д.</w:t>
      </w:r>
      <w:r w:rsidRPr="006B46DF">
        <w:rPr>
          <w:rFonts w:ascii="Times New Roman" w:hAnsi="Times New Roman" w:cs="Times New Roman"/>
          <w:sz w:val="24"/>
          <w:szCs w:val="24"/>
          <w:highlight w:val="none"/>
        </w:rPr>
        <w:t xml:space="preserve"> в части требований о взыскании с ответчика компенсации морального вреда</w:t>
      </w:r>
      <w:r w:rsidR="009C598B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Pr="006B46DF">
        <w:rPr>
          <w:rFonts w:ascii="Times New Roman" w:hAnsi="Times New Roman" w:cs="Times New Roman"/>
          <w:sz w:val="24"/>
          <w:szCs w:val="24"/>
          <w:highlight w:val="none"/>
        </w:rPr>
        <w:t xml:space="preserve"> суд также находит не подлежащим удовлетворению, поскольку, в</w:t>
      </w:r>
      <w:r w:rsidRPr="006B46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нарушение требований ст. 56 ГПК РФ</w:t>
      </w:r>
      <w:r w:rsidRPr="006B46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,</w:t>
      </w:r>
      <w:r w:rsidRPr="006B46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ист</w:t>
      </w:r>
      <w:r w:rsidRPr="006B46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ец не представил доказательств</w:t>
      </w:r>
      <w:r w:rsidRPr="006B46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причинения </w:t>
      </w:r>
      <w:r w:rsidR="00A5722C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ему</w:t>
      </w:r>
      <w:r w:rsidRPr="006B46D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действиями ответчика физичес</w:t>
      </w:r>
      <w:r w:rsid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ких или нравственных страданий, равно как и доказательств противоправного поведения Банка.</w:t>
      </w:r>
    </w:p>
    <w:p w:rsidR="009C598B" w:rsidRPr="009C598B" w:rsidP="009C598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 w:bidi="he-IL"/>
        </w:rPr>
      </w:pPr>
      <w:r w:rsidRP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Разрешая иск в части требований о взыскании судебных расходов, суд исходит из следующего.</w:t>
      </w:r>
    </w:p>
    <w:p w:rsidR="009C598B" w:rsidRPr="009C598B" w:rsidP="009C598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9C598B">
        <w:rPr>
          <w:rFonts w:ascii="Times New Roman" w:eastAsia="Calibri" w:hAnsi="Times New Roman" w:cs="Times New Roman"/>
          <w:sz w:val="24"/>
          <w:szCs w:val="24"/>
          <w:highlight w:val="none"/>
          <w:lang w:eastAsia="ru-RU" w:bidi="he-IL"/>
        </w:rPr>
        <w:t xml:space="preserve">Согласно части 1 статьи 88 ГПК РФ, </w:t>
      </w:r>
      <w:r w:rsidRPr="009C598B">
        <w:rPr>
          <w:rFonts w:ascii="Times New Roman" w:eastAsia="Calibri" w:hAnsi="Times New Roman" w:cs="Times New Roman"/>
          <w:sz w:val="24"/>
          <w:szCs w:val="24"/>
          <w:highlight w:val="none"/>
          <w:shd w:val="clear" w:color="auto" w:fill="FFFFFF"/>
        </w:rPr>
        <w:t>судебные расходы состоят из </w:t>
      </w:r>
      <w:r>
        <w:fldChar w:fldCharType="begin"/>
      </w:r>
      <w:r>
        <w:rPr>
          <w:highlight w:val="none"/>
        </w:rPr>
        <w:instrText xml:space="preserve"> HYPERLINK "http://base.consultant.ru/cons/cgi/online.cgi?req=doc;base=LAW;n=176373;dst=759" \o ""Налоговый кодекс Российской Федерации (часть вторая)" от 05.08.2000 N 117-ФЗ
(ред. от 29.06.2015)
(с изм. и доп., вступ. в силу с 15.09.2015)
------------------ Недействующая редакция" </w:instrText>
      </w:r>
      <w:r>
        <w:fldChar w:fldCharType="separate"/>
      </w:r>
      <w:r w:rsidRPr="009C598B">
        <w:rPr>
          <w:rFonts w:ascii="Times New Roman" w:eastAsia="Calibri" w:hAnsi="Times New Roman" w:cs="Times New Roman"/>
          <w:sz w:val="24"/>
          <w:szCs w:val="24"/>
          <w:highlight w:val="none"/>
          <w:shd w:val="clear" w:color="auto" w:fill="FFFFFF"/>
        </w:rPr>
        <w:t>государственной пошлины</w:t>
      </w:r>
      <w:r>
        <w:fldChar w:fldCharType="end"/>
      </w:r>
      <w:r w:rsidRPr="009C598B">
        <w:rPr>
          <w:rFonts w:ascii="Times New Roman" w:eastAsia="Calibri" w:hAnsi="Times New Roman" w:cs="Times New Roman"/>
          <w:sz w:val="24"/>
          <w:szCs w:val="24"/>
          <w:highlight w:val="none"/>
          <w:shd w:val="clear" w:color="auto" w:fill="FFFFFF"/>
        </w:rPr>
        <w:t> и </w:t>
      </w:r>
      <w:r>
        <w:fldChar w:fldCharType="begin"/>
      </w:r>
      <w:r>
        <w:rPr>
          <w:highlight w:val="none"/>
        </w:rPr>
        <w:instrText xml:space="preserve"> HYPERLINK "http://www.consultant.ru/popular/gpkrf/8_7.html" \l "p765" \o "Ссылка на текущий документ" </w:instrText>
      </w:r>
      <w:r>
        <w:fldChar w:fldCharType="separate"/>
      </w:r>
      <w:r w:rsidRPr="009C598B">
        <w:rPr>
          <w:rFonts w:ascii="Times New Roman" w:eastAsia="Calibri" w:hAnsi="Times New Roman" w:cs="Times New Roman"/>
          <w:sz w:val="24"/>
          <w:szCs w:val="24"/>
          <w:highlight w:val="none"/>
          <w:shd w:val="clear" w:color="auto" w:fill="FFFFFF"/>
        </w:rPr>
        <w:t>издержек</w:t>
      </w:r>
      <w:r>
        <w:fldChar w:fldCharType="end"/>
      </w:r>
      <w:r w:rsidRPr="009C598B">
        <w:rPr>
          <w:rFonts w:ascii="Times New Roman" w:eastAsia="Calibri" w:hAnsi="Times New Roman" w:cs="Times New Roman"/>
          <w:sz w:val="24"/>
          <w:szCs w:val="24"/>
          <w:highlight w:val="none"/>
          <w:shd w:val="clear" w:color="auto" w:fill="FFFFFF"/>
        </w:rPr>
        <w:t>, связанных с рассмотрением дела.</w:t>
      </w:r>
    </w:p>
    <w:p w:rsidR="009C598B" w:rsidRPr="009C598B" w:rsidP="009C59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В соответствии со статьей 98 ГПК РФ, стороне, в пользу которой состоя</w:t>
      </w:r>
      <w:r w:rsidRP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softHyphen/>
        <w:t>лось решение суда, суд присуждает возместить с другой стороны все понесен</w:t>
      </w:r>
      <w:r w:rsidRP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softHyphen/>
        <w:t>ные по делу судебные расходы, за исключением случаев, предусмотренных ча</w:t>
      </w:r>
      <w:r w:rsidRP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softHyphen/>
        <w:t xml:space="preserve">стью второй </w:t>
      </w:r>
      <w:r>
        <w:fldChar w:fldCharType="begin"/>
      </w:r>
      <w:r>
        <w:rPr>
          <w:highlight w:val="none"/>
        </w:rPr>
        <w:instrText xml:space="preserve"> HYPERLINK "consultantplus://offline/main?base=LAW;n=112756;fld=134;dst=100469" </w:instrText>
      </w:r>
      <w:r>
        <w:fldChar w:fldCharType="separate"/>
      </w:r>
      <w:r w:rsidRP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статьи 96</w:t>
      </w:r>
      <w:r>
        <w:fldChar w:fldCharType="end"/>
      </w:r>
      <w:r w:rsidRP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настоящего Кодекса. В случае, если иск удовлетворен час</w:t>
      </w:r>
      <w:r w:rsidRPr="009C598B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softHyphen/>
        <w:t>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9C598B" w:rsidRPr="006B46DF" w:rsidP="006B46D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Поскольку в удовлетворении иска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Пронь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В.Д. отказано, то его требования о возмещении судебных расходов также не подлежат удовлетворению.</w:t>
      </w:r>
    </w:p>
    <w:p w:rsidR="00DB3C47" w:rsidRPr="004E5967" w:rsidP="00FC06AD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На основании изложенного, р</w:t>
      </w:r>
      <w:r w:rsidRPr="004E5967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уководствуясь статьями 194-198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</w:t>
      </w:r>
      <w:r w:rsidRPr="004E5967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ГПК РФ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,</w:t>
      </w:r>
      <w:r w:rsidR="002E0E77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</w:t>
      </w:r>
      <w:r w:rsidRPr="004E5967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суд</w:t>
      </w:r>
    </w:p>
    <w:p w:rsidR="00DB3C47" w:rsidRPr="004E5967" w:rsidP="00DB3C47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3C47" w:rsidP="00DB3C47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27901">
        <w:rPr>
          <w:rFonts w:ascii="Times New Roman" w:eastAsia="Times New Roman" w:hAnsi="Times New Roman" w:cs="Times New Roman"/>
          <w:b/>
          <w:sz w:val="24"/>
          <w:szCs w:val="24"/>
          <w:highlight w:val="none"/>
          <w:lang w:eastAsia="ru-RU"/>
        </w:rPr>
        <w:t>РЕШИЛ:</w:t>
      </w:r>
    </w:p>
    <w:p w:rsidR="00B477CD" w:rsidRPr="00027901" w:rsidP="00DB3C47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77CD" w:rsidP="00B477C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удовлетворении исковых требований </w:t>
      </w:r>
      <w:r w:rsidR="009C598B">
        <w:rPr>
          <w:rFonts w:ascii="Times New Roman" w:hAnsi="Times New Roman" w:cs="Times New Roman"/>
          <w:sz w:val="24"/>
          <w:szCs w:val="24"/>
          <w:highlight w:val="none"/>
        </w:rPr>
        <w:t>Пронь</w:t>
      </w:r>
      <w:r w:rsidR="009C598B">
        <w:rPr>
          <w:rFonts w:ascii="Times New Roman" w:hAnsi="Times New Roman" w:cs="Times New Roman"/>
          <w:sz w:val="24"/>
          <w:szCs w:val="24"/>
          <w:highlight w:val="none"/>
        </w:rPr>
        <w:t xml:space="preserve"> Владимира Дмитриевича к ПАО «Сбербанк России» о защите прав потребителя, </w:t>
      </w:r>
      <w:r>
        <w:rPr>
          <w:rFonts w:ascii="Times New Roman" w:hAnsi="Times New Roman" w:cs="Times New Roman"/>
          <w:sz w:val="24"/>
          <w:szCs w:val="24"/>
          <w:highlight w:val="none"/>
        </w:rPr>
        <w:t>- отказать.</w:t>
      </w:r>
    </w:p>
    <w:p w:rsidR="00B477CD" w:rsidP="00B477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A6D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На решение может быть подана апелляционная жалоба в Московский го</w:t>
      </w:r>
      <w:r w:rsidRPr="009C2A6D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softHyphen/>
        <w:t xml:space="preserve">родской суд через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Дорогомиловский</w:t>
      </w:r>
      <w:r w:rsidRPr="009C2A6D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районный суд города Москвы в течение одного месяца со дня его принятия в окончательной форме.</w:t>
      </w:r>
    </w:p>
    <w:p w:rsidR="00DB3C47" w:rsidRPr="002E0E77" w:rsidP="00DB3C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DB3C47" w:rsidRPr="004E5967" w:rsidP="00DB3C47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096" w:rsidP="00DB3C47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3C47" w:rsidP="00DB3C47">
      <w:pPr>
        <w:autoSpaceDE w:val="0"/>
        <w:autoSpaceDN w:val="0"/>
        <w:spacing w:after="0" w:line="240" w:lineRule="auto"/>
        <w:ind w:firstLine="708"/>
        <w:jc w:val="both"/>
      </w:pP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Судья</w:t>
      </w: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594703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="00EA1C55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Д.В. </w:t>
      </w:r>
      <w:r w:rsidR="00EA1C55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Гусакова</w:t>
      </w:r>
    </w:p>
    <w:p w:rsidR="00DB3C47" w:rsidP="00DB3C47">
      <w:pPr>
        <w:rPr>
          <w:rFonts w:ascii="Times New Roman" w:hAnsi="Times New Roman" w:cs="Times New Roman"/>
          <w:sz w:val="24"/>
          <w:szCs w:val="24"/>
        </w:rPr>
      </w:pPr>
    </w:p>
    <w:p w:rsidR="00963FBC" w:rsidP="00DB3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Мотивированное решение изготовлено 19.12.2016 г.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C76DF7"/>
    <w:multiLevelType w:val="multilevel"/>
    <w:tmpl w:val="EC3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466DB"/>
    <w:multiLevelType w:val="multilevel"/>
    <w:tmpl w:val="6798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5EC"/>
    <w:pPr>
      <w:spacing w:after="0" w:line="240" w:lineRule="auto"/>
    </w:pPr>
  </w:style>
  <w:style w:type="paragraph" w:styleId="Header">
    <w:name w:val="header"/>
    <w:basedOn w:val="Normal"/>
    <w:link w:val="a"/>
    <w:uiPriority w:val="99"/>
    <w:unhideWhenUsed/>
    <w:rsid w:val="00C9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C96095"/>
  </w:style>
  <w:style w:type="character" w:styleId="Hyperlink">
    <w:name w:val="Hyperlink"/>
    <w:basedOn w:val="DefaultParagraphFont"/>
    <w:uiPriority w:val="99"/>
    <w:unhideWhenUsed/>
    <w:rsid w:val="000D2808"/>
    <w:rPr>
      <w:strike w:val="0"/>
      <w:dstrike w:val="0"/>
      <w:color w:val="666699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D0B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