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Резолютивная часть</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Style w:val="cat-Addressgrp-0rplc-0"/>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15</w:t>
      </w:r>
      <w:r>
        <w:rPr>
          <w:rFonts w:ascii="Times New Roman" w:eastAsia="Times New Roman" w:hAnsi="Times New Roman" w:cs="Times New Roman"/>
          <w:sz w:val="26"/>
          <w:szCs w:val="26"/>
          <w:highlight w:val="none"/>
        </w:rPr>
        <w:t xml:space="preserve"> ноября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77RS0005-02-2022-011643-80</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Style w:val="cat-Addressgrp-0rplc-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3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№2-</w:t>
      </w:r>
      <w:r>
        <w:rPr>
          <w:rFonts w:ascii="Times New Roman" w:eastAsia="Times New Roman" w:hAnsi="Times New Roman" w:cs="Times New Roman"/>
          <w:sz w:val="26"/>
          <w:szCs w:val="26"/>
          <w:highlight w:val="none"/>
        </w:rPr>
        <w:t>4977</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к </w:t>
      </w:r>
      <w:r>
        <w:rPr>
          <w:rStyle w:val="cat-UserDefinedgrp-16rplc-4"/>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spacing w:before="0" w:after="0"/>
        <w:ind w:firstLine="720"/>
        <w:jc w:val="both"/>
        <w:rPr>
          <w:sz w:val="26"/>
          <w:szCs w:val="26"/>
        </w:rPr>
      </w:pPr>
      <w:r>
        <w:rPr>
          <w:rFonts w:ascii="Times New Roman" w:eastAsia="Times New Roman" w:hAnsi="Times New Roman" w:cs="Times New Roman"/>
          <w:sz w:val="26"/>
          <w:szCs w:val="26"/>
          <w:highlight w:val="none"/>
        </w:rPr>
        <w:t>руководствуясь ст.</w:t>
      </w:r>
      <w:r>
        <w:rPr>
          <w:rFonts w:ascii="Times New Roman" w:eastAsia="Times New Roman" w:hAnsi="Times New Roman" w:cs="Times New Roman"/>
          <w:sz w:val="26"/>
          <w:szCs w:val="26"/>
          <w:highlight w:val="none"/>
        </w:rPr>
        <w:t>ст. 194-199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UserDefinedgrp-16rplc-6"/>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UserDefinedgrp-17rplc-8"/>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4rplc-10"/>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3567988670</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08.11.2014</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в размере </w:t>
      </w:r>
      <w:r>
        <w:rPr>
          <w:rStyle w:val="cat-Sumgrp-8rplc-1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9rplc-12"/>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суда может быть обжаловано сторонами в апелляционном порядке в Московский городской суд через </w:t>
      </w: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Style w:val="cat-Addressgrp-0rplc-13"/>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Н.Н. Назарова</w:t>
      </w:r>
    </w:p>
    <w:p>
      <w:pPr>
        <w:spacing w:before="0" w:after="0"/>
        <w:ind w:firstLine="709"/>
        <w:jc w:val="center"/>
        <w:rPr>
          <w:sz w:val="26"/>
          <w:szCs w:val="26"/>
        </w:rPr>
      </w:pPr>
      <w:r>
        <w:rPr>
          <w:highlight w:val="none"/>
        </w:rPr>
        <w:br w:type="page"/>
      </w: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Style w:val="cat-Addressgrp-0rplc-15"/>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15 ноября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77RS0005-02-2022-011643-80</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Style w:val="cat-Addressgrp-0rplc-16"/>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3rplc-18"/>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№2-</w:t>
      </w:r>
      <w:r>
        <w:rPr>
          <w:rFonts w:ascii="Times New Roman" w:eastAsia="Times New Roman" w:hAnsi="Times New Roman" w:cs="Times New Roman"/>
          <w:sz w:val="26"/>
          <w:szCs w:val="26"/>
          <w:highlight w:val="none"/>
        </w:rPr>
        <w:t>4977</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к </w:t>
      </w:r>
      <w:r>
        <w:rPr>
          <w:rStyle w:val="cat-UserDefinedgrp-16rplc-19"/>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p>
    <w:p>
      <w:pPr>
        <w:widowControl w:val="0"/>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widowControl w:val="0"/>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Публично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акционерно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обществ</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обратился в суд с иском к </w:t>
      </w:r>
      <w:r>
        <w:rPr>
          <w:rStyle w:val="cat-UserDefinedgrp-18rplc-22"/>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о взыскании с ответчика задолженно</w:t>
      </w:r>
      <w:r>
        <w:rPr>
          <w:rFonts w:ascii="Times New Roman" w:eastAsia="Times New Roman" w:hAnsi="Times New Roman" w:cs="Times New Roman"/>
          <w:sz w:val="26"/>
          <w:szCs w:val="26"/>
          <w:highlight w:val="none"/>
        </w:rPr>
        <w:t xml:space="preserve">сти по эмиссионному контракту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3567988670 от 08.11.2014 года </w:t>
      </w:r>
      <w:r>
        <w:rPr>
          <w:rFonts w:ascii="Times New Roman" w:eastAsia="Times New Roman" w:hAnsi="Times New Roman" w:cs="Times New Roman"/>
          <w:sz w:val="26"/>
          <w:szCs w:val="26"/>
          <w:highlight w:val="none"/>
        </w:rPr>
        <w:t xml:space="preserve">в размере </w:t>
      </w:r>
      <w:r>
        <w:rPr>
          <w:rStyle w:val="cat-Sumgrp-8rplc-2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9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мотивируя свои требования тем, что </w:t>
      </w:r>
      <w:r>
        <w:rPr>
          <w:rFonts w:ascii="Times New Roman" w:eastAsia="Times New Roman" w:hAnsi="Times New Roman" w:cs="Times New Roman"/>
          <w:sz w:val="26"/>
          <w:szCs w:val="26"/>
          <w:highlight w:val="none"/>
        </w:rPr>
        <w:t>08 ноября</w:t>
      </w:r>
      <w:r>
        <w:rPr>
          <w:rFonts w:ascii="Times New Roman" w:eastAsia="Times New Roman" w:hAnsi="Times New Roman" w:cs="Times New Roman"/>
          <w:sz w:val="26"/>
          <w:szCs w:val="26"/>
          <w:highlight w:val="none"/>
        </w:rPr>
        <w:t xml:space="preserve"> 2019</w:t>
      </w:r>
      <w:r>
        <w:rPr>
          <w:rFonts w:ascii="Times New Roman" w:eastAsia="Times New Roman" w:hAnsi="Times New Roman" w:cs="Times New Roman"/>
          <w:sz w:val="26"/>
          <w:szCs w:val="26"/>
          <w:highlight w:val="none"/>
        </w:rPr>
        <w:t xml:space="preserve">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открыт счет. </w:t>
      </w:r>
      <w:r>
        <w:rPr>
          <w:rFonts w:ascii="Times New Roman" w:eastAsia="Times New Roman" w:hAnsi="Times New Roman" w:cs="Times New Roman"/>
          <w:sz w:val="26"/>
          <w:szCs w:val="26"/>
          <w:highlight w:val="none"/>
        </w:rPr>
        <w:t xml:space="preserve">Кредит был выдан под </w:t>
      </w:r>
      <w:r>
        <w:rPr>
          <w:rFonts w:ascii="Times New Roman" w:eastAsia="Times New Roman" w:hAnsi="Times New Roman" w:cs="Times New Roman"/>
          <w:sz w:val="26"/>
          <w:szCs w:val="26"/>
          <w:highlight w:val="none"/>
        </w:rPr>
        <w:t>17</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годовых на условиях, определенных тарифами Сбербанка.</w:t>
      </w:r>
      <w:r>
        <w:rPr>
          <w:rFonts w:ascii="Times New Roman" w:eastAsia="Times New Roman" w:hAnsi="Times New Roman" w:cs="Times New Roman"/>
          <w:sz w:val="26"/>
          <w:szCs w:val="26"/>
          <w:highlight w:val="none"/>
        </w:rPr>
        <w:t xml:space="preserve"> Как указывает истец, в нарушение условий договора, платежи в счет погашения задолженности по кредиту ответчиком надлежащим образом не производились. </w:t>
      </w: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01.08</w:t>
      </w:r>
      <w:r>
        <w:rPr>
          <w:rFonts w:ascii="Times New Roman" w:eastAsia="Times New Roman" w:hAnsi="Times New Roman" w:cs="Times New Roman"/>
          <w:sz w:val="26"/>
          <w:szCs w:val="26"/>
          <w:highlight w:val="none"/>
        </w:rPr>
        <w:t xml:space="preserve">.2022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заемщик</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образовалась просроченная задолженность</w:t>
      </w:r>
      <w:r>
        <w:rPr>
          <w:rFonts w:ascii="Times New Roman" w:eastAsia="Times New Roman" w:hAnsi="Times New Roman" w:cs="Times New Roman"/>
          <w:sz w:val="26"/>
          <w:szCs w:val="26"/>
          <w:highlight w:val="none"/>
        </w:rPr>
        <w:t xml:space="preserve">, а именно: </w:t>
      </w:r>
      <w:r>
        <w:rPr>
          <w:rFonts w:ascii="Times New Roman" w:eastAsia="Times New Roman" w:hAnsi="Times New Roman" w:cs="Times New Roman"/>
          <w:sz w:val="26"/>
          <w:szCs w:val="26"/>
          <w:highlight w:val="none"/>
        </w:rPr>
        <w:t>просроченный основной долг</w:t>
      </w:r>
      <w:r>
        <w:rPr>
          <w:rFonts w:ascii="Times New Roman" w:eastAsia="Times New Roman" w:hAnsi="Times New Roman" w:cs="Times New Roman"/>
          <w:sz w:val="26"/>
          <w:szCs w:val="26"/>
          <w:highlight w:val="none"/>
        </w:rPr>
        <w:t xml:space="preserve"> в размере </w:t>
      </w:r>
      <w:r>
        <w:rPr>
          <w:rStyle w:val="cat-Sumgrp-10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просроченные проценты в размере </w:t>
      </w:r>
      <w:r>
        <w:rPr>
          <w:rStyle w:val="cat-Sumgrp-11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w:t>
      </w:r>
      <w:r>
        <w:rPr>
          <w:rFonts w:ascii="Times New Roman" w:eastAsia="Times New Roman" w:hAnsi="Times New Roman" w:cs="Times New Roman"/>
          <w:sz w:val="26"/>
          <w:szCs w:val="26"/>
          <w:highlight w:val="none"/>
        </w:rPr>
        <w:t>женность ответчик не реагировал</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связи с чем,</w:t>
      </w:r>
      <w:r>
        <w:rPr>
          <w:rFonts w:ascii="Times New Roman" w:eastAsia="Times New Roman" w:hAnsi="Times New Roman" w:cs="Times New Roman"/>
          <w:sz w:val="26"/>
          <w:szCs w:val="26"/>
          <w:highlight w:val="none"/>
        </w:rPr>
        <w:t xml:space="preserve"> проси</w:t>
      </w:r>
      <w:r>
        <w:rPr>
          <w:rFonts w:ascii="Times New Roman" w:eastAsia="Times New Roman" w:hAnsi="Times New Roman" w:cs="Times New Roman"/>
          <w:sz w:val="26"/>
          <w:szCs w:val="26"/>
          <w:highlight w:val="none"/>
        </w:rPr>
        <w:t>т</w:t>
      </w:r>
      <w:r>
        <w:rPr>
          <w:rFonts w:ascii="Times New Roman" w:eastAsia="Times New Roman" w:hAnsi="Times New Roman" w:cs="Times New Roman"/>
          <w:sz w:val="26"/>
          <w:szCs w:val="26"/>
          <w:highlight w:val="none"/>
        </w:rPr>
        <w:t xml:space="preserve"> взыскать с ответчика в пользу истца задолженность по кредиту и расходы по оплате государственной пошлины.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Представитель истца 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в судебное заседание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явил</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дате времени и месте судебного заседания извещал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xml:space="preserve"> надлежащим образо</w:t>
      </w:r>
      <w:r>
        <w:rPr>
          <w:rFonts w:ascii="Times New Roman" w:eastAsia="Times New Roman" w:hAnsi="Times New Roman" w:cs="Times New Roman"/>
          <w:sz w:val="26"/>
          <w:szCs w:val="26"/>
          <w:highlight w:val="none"/>
        </w:rPr>
        <w:t>м, о причинах неявки не сообщил</w:t>
      </w:r>
      <w:r>
        <w:rPr>
          <w:rFonts w:ascii="Times New Roman" w:eastAsia="Times New Roman" w:hAnsi="Times New Roman" w:cs="Times New Roman"/>
          <w:sz w:val="26"/>
          <w:szCs w:val="26"/>
          <w:highlight w:val="none"/>
        </w:rPr>
        <w:t>, возражений по иску не представил.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Учитывая, что реализация участниками гражданского оборота своих прав не должна нарушать права и охраняемые законом интересы других лиц, суд считает необходимым рассмотреть настоящее дело в порядке статьи 167 ГПК РФ в отсутствии </w:t>
      </w:r>
      <w:r>
        <w:rPr>
          <w:rFonts w:ascii="Times New Roman" w:eastAsia="Times New Roman" w:hAnsi="Times New Roman" w:cs="Times New Roman"/>
          <w:sz w:val="26"/>
          <w:szCs w:val="26"/>
          <w:highlight w:val="none"/>
        </w:rPr>
        <w:t>сторон</w:t>
      </w:r>
      <w:r>
        <w:rPr>
          <w:rFonts w:ascii="Times New Roman" w:eastAsia="Times New Roman" w:hAnsi="Times New Roman" w:cs="Times New Roman"/>
          <w:sz w:val="26"/>
          <w:szCs w:val="26"/>
          <w:highlight w:val="none"/>
        </w:rPr>
        <w:t>, поскольку полагает возможным разрешить спор по имеющимся в деле доказательствам.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Суд, исследовав материалы дела, оценив представленные доказательства в </w:t>
      </w:r>
      <w:r>
        <w:rPr>
          <w:rFonts w:ascii="Times New Roman" w:eastAsia="Times New Roman" w:hAnsi="Times New Roman" w:cs="Times New Roman"/>
          <w:sz w:val="26"/>
          <w:szCs w:val="26"/>
          <w:highlight w:val="none"/>
        </w:rPr>
        <w:t>их совокупности, находит исковые требования подлежащими удовлетворению, по следующим основаниям.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w:t>
      </w:r>
      <w:r>
        <w:rPr>
          <w:rFonts w:ascii="Times New Roman" w:eastAsia="Times New Roman" w:hAnsi="Times New Roman" w:cs="Times New Roman"/>
          <w:sz w:val="26"/>
          <w:szCs w:val="26"/>
          <w:highlight w:val="none"/>
        </w:rPr>
        <w:t xml:space="preserve"> таких условий и требований – в </w:t>
      </w:r>
      <w:r>
        <w:rPr>
          <w:rFonts w:ascii="Times New Roman" w:eastAsia="Times New Roman" w:hAnsi="Times New Roman" w:cs="Times New Roman"/>
          <w:sz w:val="26"/>
          <w:szCs w:val="26"/>
          <w:highlight w:val="none"/>
        </w:rPr>
        <w:t>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п.1 ст.</w:t>
      </w:r>
      <w:r>
        <w:rPr>
          <w:rFonts w:ascii="Times New Roman" w:eastAsia="Times New Roman" w:hAnsi="Times New Roman" w:cs="Times New Roman"/>
          <w:sz w:val="26"/>
          <w:szCs w:val="26"/>
          <w:highlight w:val="none"/>
        </w:rPr>
        <w:t>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ч.1 ст.</w:t>
      </w:r>
      <w:r>
        <w:rPr>
          <w:rFonts w:ascii="Times New Roman" w:eastAsia="Times New Roman" w:hAnsi="Times New Roman" w:cs="Times New Roman"/>
          <w:sz w:val="26"/>
          <w:szCs w:val="26"/>
          <w:highlight w:val="none"/>
        </w:rPr>
        <w:t>811 ГК РФ</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w:t>
      </w:r>
      <w:r>
        <w:rPr>
          <w:rFonts w:ascii="Times New Roman" w:eastAsia="Times New Roman" w:hAnsi="Times New Roman" w:cs="Times New Roman"/>
          <w:sz w:val="26"/>
          <w:szCs w:val="26"/>
          <w:highlight w:val="none"/>
        </w:rPr>
        <w:t xml:space="preserve"> 809 настоящего Кодекса.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xml:space="preserve"> ст.811 ГК РФ</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319 ГК РФ, сумма произведенного платежа, недостаточная для исполнения денежного обязательства полностью, при отсутствии иного соглашения погашает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прежде всего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издержки кредитора по получению исполнения, затем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проценты, а в оставшейся части - основную сумму долга.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Как установлено судом, </w:t>
      </w:r>
      <w:r>
        <w:rPr>
          <w:rFonts w:ascii="Times New Roman" w:eastAsia="Times New Roman" w:hAnsi="Times New Roman" w:cs="Times New Roman"/>
          <w:sz w:val="26"/>
          <w:szCs w:val="26"/>
          <w:highlight w:val="none"/>
        </w:rPr>
        <w:t>08.11.2014</w:t>
      </w:r>
      <w:r>
        <w:rPr>
          <w:rFonts w:ascii="Times New Roman" w:eastAsia="Times New Roman" w:hAnsi="Times New Roman" w:cs="Times New Roman"/>
          <w:sz w:val="26"/>
          <w:szCs w:val="26"/>
          <w:highlight w:val="none"/>
        </w:rPr>
        <w:t xml:space="preserve"> года между истцом ПАО «Сбербанк </w:t>
      </w:r>
      <w:r>
        <w:rPr>
          <w:rFonts w:ascii="Times New Roman" w:eastAsia="Times New Roman" w:hAnsi="Times New Roman" w:cs="Times New Roman"/>
          <w:sz w:val="26"/>
          <w:szCs w:val="26"/>
          <w:highlight w:val="none"/>
        </w:rPr>
        <w:t xml:space="preserve">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(ранее ОАО «Сбербанк России») и ответчиком </w:t>
      </w:r>
      <w:r>
        <w:rPr>
          <w:rFonts w:ascii="Times New Roman" w:eastAsia="Times New Roman" w:hAnsi="Times New Roman" w:cs="Times New Roman"/>
          <w:sz w:val="26"/>
          <w:szCs w:val="26"/>
          <w:highlight w:val="none"/>
        </w:rPr>
        <w:t>Герехановой</w:t>
      </w:r>
      <w:r>
        <w:rPr>
          <w:rFonts w:ascii="Times New Roman" w:eastAsia="Times New Roman" w:hAnsi="Times New Roman" w:cs="Times New Roman"/>
          <w:sz w:val="26"/>
          <w:szCs w:val="26"/>
          <w:highlight w:val="none"/>
        </w:rPr>
        <w:t xml:space="preserve"> З.Г</w:t>
      </w:r>
      <w:r>
        <w:rPr>
          <w:rFonts w:ascii="Times New Roman" w:eastAsia="Times New Roman" w:hAnsi="Times New Roman" w:cs="Times New Roman"/>
          <w:sz w:val="26"/>
          <w:szCs w:val="26"/>
          <w:highlight w:val="none"/>
        </w:rPr>
        <w:t>. был заключен д</w:t>
      </w:r>
      <w:r>
        <w:rPr>
          <w:rFonts w:ascii="Times New Roman" w:eastAsia="Times New Roman" w:hAnsi="Times New Roman" w:cs="Times New Roman"/>
          <w:sz w:val="26"/>
          <w:szCs w:val="26"/>
          <w:highlight w:val="none"/>
        </w:rPr>
        <w:t>оговор (эмиссионный контракт)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3567988670</w:t>
      </w:r>
      <w:r>
        <w:rPr>
          <w:rFonts w:ascii="Times New Roman" w:eastAsia="Times New Roman" w:hAnsi="Times New Roman" w:cs="Times New Roman"/>
          <w:sz w:val="26"/>
          <w:szCs w:val="26"/>
          <w:highlight w:val="none"/>
        </w:rPr>
        <w:t xml:space="preserve">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w:t>
      </w:r>
      <w:r>
        <w:rPr>
          <w:rFonts w:ascii="Times New Roman" w:eastAsia="Times New Roman" w:hAnsi="Times New Roman" w:cs="Times New Roman"/>
          <w:sz w:val="26"/>
          <w:szCs w:val="26"/>
          <w:highlight w:val="none"/>
        </w:rPr>
        <w:t>ее</w:t>
      </w:r>
      <w:r>
        <w:rPr>
          <w:rFonts w:ascii="Times New Roman" w:eastAsia="Times New Roman" w:hAnsi="Times New Roman" w:cs="Times New Roman"/>
          <w:sz w:val="26"/>
          <w:szCs w:val="26"/>
          <w:highlight w:val="none"/>
        </w:rPr>
        <w:t xml:space="preserve">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Условиями операции, совершенные по карте оплачиваются за счет лимита кредита, предоставляемого Сбербанком России </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тветчику на условиях «до востребования», с одновременным уменьшением доступного лимита кредита. </w:t>
      </w:r>
      <w:r>
        <w:rPr>
          <w:rFonts w:ascii="Times New Roman" w:eastAsia="Times New Roman" w:hAnsi="Times New Roman" w:cs="Times New Roman"/>
          <w:sz w:val="26"/>
          <w:szCs w:val="26"/>
          <w:highlight w:val="none"/>
        </w:rPr>
        <w:t xml:space="preserve">Кредит по карте предоставляется Ответчику в размере кредитного лимита под </w:t>
      </w:r>
      <w:r>
        <w:rPr>
          <w:rFonts w:ascii="Times New Roman" w:eastAsia="Times New Roman" w:hAnsi="Times New Roman" w:cs="Times New Roman"/>
          <w:sz w:val="26"/>
          <w:szCs w:val="26"/>
          <w:highlight w:val="none"/>
        </w:rPr>
        <w:t>17</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годовых на условиях, определенных Тарифами Банка.</w:t>
      </w:r>
      <w:r>
        <w:rPr>
          <w:rFonts w:ascii="Times New Roman" w:eastAsia="Times New Roman" w:hAnsi="Times New Roman" w:cs="Times New Roman"/>
          <w:sz w:val="26"/>
          <w:szCs w:val="26"/>
          <w:highlight w:val="none"/>
        </w:rPr>
        <w:t xml:space="preserve"> При этом Банк обязуется ежемесячно формировать и </w:t>
      </w:r>
      <w:r>
        <w:rPr>
          <w:rFonts w:ascii="Times New Roman" w:eastAsia="Times New Roman" w:hAnsi="Times New Roman" w:cs="Times New Roman"/>
          <w:sz w:val="26"/>
          <w:szCs w:val="26"/>
          <w:highlight w:val="none"/>
        </w:rPr>
        <w:t>предоставлять ответчику отчеты</w:t>
      </w:r>
      <w:r>
        <w:rPr>
          <w:rFonts w:ascii="Times New Roman" w:eastAsia="Times New Roman" w:hAnsi="Times New Roman" w:cs="Times New Roman"/>
          <w:sz w:val="26"/>
          <w:szCs w:val="26"/>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Условиями предусмотрено, что за несвоевременное погашение обязательного платежа взимается неустойка в соответствии с Тарифами Банка. </w:t>
      </w:r>
      <w:r>
        <w:rPr>
          <w:rFonts w:ascii="Times New Roman" w:eastAsia="Times New Roman" w:hAnsi="Times New Roman" w:cs="Times New Roman"/>
          <w:sz w:val="26"/>
          <w:szCs w:val="26"/>
          <w:highlight w:val="none"/>
        </w:rPr>
        <w:t>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Истец исполнил свои обязательства по кредитному договору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течение срока действия договора ответчик неоднократно нарушал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01</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08</w:t>
      </w:r>
      <w:r>
        <w:rPr>
          <w:rFonts w:ascii="Times New Roman" w:eastAsia="Times New Roman" w:hAnsi="Times New Roman" w:cs="Times New Roman"/>
          <w:sz w:val="26"/>
          <w:szCs w:val="26"/>
          <w:highlight w:val="none"/>
        </w:rPr>
        <w:t>.2022</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задолженность </w:t>
      </w:r>
      <w:r>
        <w:rPr>
          <w:rStyle w:val="cat-UserDefinedgrp-18rplc-29"/>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по кредитному договору составила </w:t>
      </w:r>
      <w:r>
        <w:rPr>
          <w:rStyle w:val="cat-Sumgrp-12rplc-3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0rplc-3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 xml:space="preserve">росроченный основной долг; </w:t>
      </w:r>
      <w:r>
        <w:rPr>
          <w:rStyle w:val="cat-Sumgrp-13rplc-3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просроченные проценты.</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признает расчет</w:t>
      </w:r>
      <w:r>
        <w:rPr>
          <w:rFonts w:ascii="Times New Roman" w:eastAsia="Times New Roman" w:hAnsi="Times New Roman" w:cs="Times New Roman"/>
          <w:sz w:val="26"/>
          <w:szCs w:val="26"/>
          <w:highlight w:val="none"/>
        </w:rPr>
        <w:t xml:space="preserve"> истца</w:t>
      </w:r>
      <w:r>
        <w:rPr>
          <w:rFonts w:ascii="Times New Roman" w:eastAsia="Times New Roman" w:hAnsi="Times New Roman" w:cs="Times New Roman"/>
          <w:sz w:val="26"/>
          <w:szCs w:val="26"/>
          <w:highlight w:val="none"/>
        </w:rPr>
        <w:t xml:space="preserve"> математически верным, основанным на условиях договора, </w:t>
      </w:r>
      <w:r>
        <w:rPr>
          <w:rFonts w:ascii="Times New Roman" w:eastAsia="Times New Roman" w:hAnsi="Times New Roman" w:cs="Times New Roman"/>
          <w:sz w:val="26"/>
          <w:szCs w:val="26"/>
          <w:highlight w:val="none"/>
        </w:rPr>
        <w:t xml:space="preserve">и как не оспоренный </w:t>
      </w:r>
      <w:r>
        <w:rPr>
          <w:rFonts w:ascii="Times New Roman" w:eastAsia="Times New Roman" w:hAnsi="Times New Roman" w:cs="Times New Roman"/>
          <w:sz w:val="26"/>
          <w:szCs w:val="26"/>
          <w:highlight w:val="none"/>
        </w:rPr>
        <w:t>ответчиком, считает возможным положить его в основу судебного решения.</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Истцом </w:t>
      </w:r>
      <w:r>
        <w:rPr>
          <w:rFonts w:ascii="Times New Roman" w:eastAsia="Times New Roman" w:hAnsi="Times New Roman" w:cs="Times New Roman"/>
          <w:sz w:val="26"/>
          <w:szCs w:val="26"/>
          <w:highlight w:val="none"/>
        </w:rPr>
        <w:t>19</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07</w:t>
      </w:r>
      <w:r>
        <w:rPr>
          <w:rFonts w:ascii="Times New Roman" w:eastAsia="Times New Roman" w:hAnsi="Times New Roman" w:cs="Times New Roman"/>
          <w:sz w:val="26"/>
          <w:szCs w:val="26"/>
          <w:highlight w:val="none"/>
        </w:rPr>
        <w:t>.2022</w:t>
      </w:r>
      <w:r>
        <w:rPr>
          <w:rFonts w:ascii="Times New Roman" w:eastAsia="Times New Roman" w:hAnsi="Times New Roman" w:cs="Times New Roman"/>
          <w:sz w:val="26"/>
          <w:szCs w:val="26"/>
          <w:highlight w:val="none"/>
        </w:rPr>
        <w:t xml:space="preserve"> года в адрес </w:t>
      </w:r>
      <w:r>
        <w:rPr>
          <w:rStyle w:val="cat-UserDefinedgrp-18rplc-34"/>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было направлено письмо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Ответчик возражений, относительно предъявленных исковых требований, а также доказательств отсутствия задолженности по кредитному договору, либо несогласие с размером задолженности, в нарушении ст.56 ГПК РФ не представил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Кроме того, суд принимает во внимание, что ранее истец обращался к мировому судье судебного участка №</w:t>
      </w:r>
      <w:r>
        <w:rPr>
          <w:rFonts w:ascii="Times New Roman" w:eastAsia="Times New Roman" w:hAnsi="Times New Roman" w:cs="Times New Roman"/>
          <w:sz w:val="26"/>
          <w:szCs w:val="26"/>
          <w:highlight w:val="none"/>
        </w:rPr>
        <w:t xml:space="preserve">75 </w:t>
      </w:r>
      <w:r>
        <w:rPr>
          <w:rStyle w:val="cat-Addressgrp-1rplc-35"/>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02.09.2019 года мировой судья судебного участка №75 </w:t>
      </w:r>
      <w:r>
        <w:rPr>
          <w:rStyle w:val="cat-Addressgrp-1rplc-36"/>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по заявлению ПАО «Сбербанк» вынес судебный приказ №1319/19 о взыскании задолженности с </w:t>
      </w:r>
      <w:r>
        <w:rPr>
          <w:rStyle w:val="cat-UserDefinedgrp-18rplc-38"/>
          <w:rFonts w:ascii="Times New Roman" w:eastAsia="Times New Roman" w:hAnsi="Times New Roman" w:cs="Times New Roman"/>
          <w:sz w:val="26"/>
          <w:szCs w:val="26"/>
          <w:highlight w:val="none"/>
        </w:rPr>
        <w:t>Г.З.Г.</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Определением мирового судьи </w:t>
      </w:r>
      <w:r>
        <w:rPr>
          <w:rFonts w:ascii="Times New Roman" w:eastAsia="Times New Roman" w:hAnsi="Times New Roman" w:cs="Times New Roman"/>
          <w:sz w:val="26"/>
          <w:szCs w:val="26"/>
          <w:highlight w:val="none"/>
        </w:rPr>
        <w:t xml:space="preserve">судебного участка №75 </w:t>
      </w:r>
      <w:r>
        <w:rPr>
          <w:rStyle w:val="cat-Addressgrp-1rplc-39"/>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от 30.09.2021 года судебный приказ №1319/19 от 02.09.2019 года отменен</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определении размера задолженности, подлежащей взысканию с ответчика в пользу истца, суд руководствуется расчетом задолженности, представленным истцом, поскольку указанный расчет является арифметически верным, соответствует требованиям закона и условиям кредитного договора, </w:t>
      </w:r>
      <w:r>
        <w:rPr>
          <w:rFonts w:ascii="Times New Roman" w:eastAsia="Times New Roman" w:hAnsi="Times New Roman" w:cs="Times New Roman"/>
          <w:sz w:val="26"/>
          <w:szCs w:val="26"/>
          <w:highlight w:val="none"/>
        </w:rPr>
        <w:t xml:space="preserve">ответчиком не опровергнут.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Сведений о том, что задолженность п</w:t>
      </w:r>
      <w:r>
        <w:rPr>
          <w:rFonts w:ascii="Times New Roman" w:eastAsia="Times New Roman" w:hAnsi="Times New Roman" w:cs="Times New Roman"/>
          <w:sz w:val="26"/>
          <w:szCs w:val="26"/>
          <w:highlight w:val="none"/>
        </w:rPr>
        <w:t xml:space="preserve">огашена, суду не представлено.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 ст.123 Конституции РФ, ст.</w:t>
      </w:r>
      <w:r>
        <w:rPr>
          <w:rFonts w:ascii="Times New Roman" w:eastAsia="Times New Roman" w:hAnsi="Times New Roman" w:cs="Times New Roman"/>
          <w:sz w:val="26"/>
          <w:szCs w:val="26"/>
          <w:highlight w:val="none"/>
        </w:rPr>
        <w:t>ст. 12, 56 ГПК РФ гражданское судопроизводство осуществляется на основе равенства и состязательности сторон. Каждая сторона должна доказать те обстоятельства, на которые она ссылается как на основани</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своих требов</w:t>
      </w:r>
      <w:r>
        <w:rPr>
          <w:rFonts w:ascii="Times New Roman" w:eastAsia="Times New Roman" w:hAnsi="Times New Roman" w:cs="Times New Roman"/>
          <w:sz w:val="26"/>
          <w:szCs w:val="26"/>
          <w:highlight w:val="none"/>
        </w:rPr>
        <w:t>аний и возражений. Согласно ст.</w:t>
      </w:r>
      <w:r>
        <w:rPr>
          <w:rFonts w:ascii="Times New Roman" w:eastAsia="Times New Roman" w:hAnsi="Times New Roman" w:cs="Times New Roman"/>
          <w:sz w:val="26"/>
          <w:szCs w:val="26"/>
          <w:highlight w:val="none"/>
        </w:rPr>
        <w:t>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w:t>
      </w:r>
      <w:r>
        <w:rPr>
          <w:rFonts w:ascii="Times New Roman" w:eastAsia="Times New Roman" w:hAnsi="Times New Roman" w:cs="Times New Roman"/>
          <w:sz w:val="26"/>
          <w:szCs w:val="26"/>
          <w:highlight w:val="none"/>
        </w:rPr>
        <w:t xml:space="preserve">меющихся в деле доказательств.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указанных обстоятельствах, суд приходит к выводу о законности и </w:t>
      </w:r>
      <w:r>
        <w:rPr>
          <w:rFonts w:ascii="Times New Roman" w:eastAsia="Times New Roman" w:hAnsi="Times New Roman" w:cs="Times New Roman"/>
          <w:sz w:val="26"/>
          <w:szCs w:val="26"/>
          <w:highlight w:val="none"/>
        </w:rPr>
        <w:t>обоснованности</w:t>
      </w:r>
      <w:r>
        <w:rPr>
          <w:rFonts w:ascii="Times New Roman" w:eastAsia="Times New Roman" w:hAnsi="Times New Roman" w:cs="Times New Roman"/>
          <w:sz w:val="26"/>
          <w:szCs w:val="26"/>
          <w:highlight w:val="none"/>
        </w:rPr>
        <w:t xml:space="preserve"> заявленных истцом требований и взыскании с </w:t>
      </w:r>
      <w:r>
        <w:rPr>
          <w:rStyle w:val="cat-UserDefinedgrp-18rplc-41"/>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sz w:val="26"/>
          <w:szCs w:val="26"/>
          <w:highlight w:val="none"/>
        </w:rPr>
        <w:t xml:space="preserve"> задолженности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3567988670 от 08.11.2014 года </w:t>
      </w:r>
      <w:r>
        <w:rPr>
          <w:rFonts w:ascii="Times New Roman" w:eastAsia="Times New Roman" w:hAnsi="Times New Roman" w:cs="Times New Roman"/>
          <w:sz w:val="26"/>
          <w:szCs w:val="26"/>
          <w:highlight w:val="none"/>
        </w:rPr>
        <w:t xml:space="preserve">в размере </w:t>
      </w:r>
      <w:r>
        <w:rPr>
          <w:rStyle w:val="cat-Sumgrp-8rplc-4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Заявлений о применении последствий пропуска истцом срока исковой давности от ответчика не поступало.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вынесении решения судом также учитывается, что истцом при подаче искового заявления были понесены расходы по оплате государственной пошлины в размере </w:t>
      </w:r>
      <w:r>
        <w:rPr>
          <w:rStyle w:val="cat-Sumgrp-9rplc-4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которые согласно ст.98 ГПК РФ, подлежат возмещению за счет ответчика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руководствуясь </w:t>
      </w:r>
      <w:r>
        <w:rPr>
          <w:rFonts w:ascii="Times New Roman" w:eastAsia="Times New Roman" w:hAnsi="Times New Roman" w:cs="Times New Roman"/>
          <w:sz w:val="26"/>
          <w:szCs w:val="26"/>
          <w:highlight w:val="none"/>
        </w:rPr>
        <w:t>ст.ст. 194</w:t>
      </w:r>
      <w:r>
        <w:rPr>
          <w:rFonts w:ascii="Times New Roman" w:eastAsia="Times New Roman" w:hAnsi="Times New Roman" w:cs="Times New Roman"/>
          <w:sz w:val="26"/>
          <w:szCs w:val="26"/>
          <w:highlight w:val="none"/>
        </w:rPr>
        <w:t>-199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UserDefinedgrp-16rplc-44"/>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UserDefinedgrp-17rplc-46"/>
          <w:rFonts w:ascii="Times New Roman" w:eastAsia="Times New Roman" w:hAnsi="Times New Roman" w:cs="Times New Roman"/>
          <w:sz w:val="26"/>
          <w:szCs w:val="26"/>
          <w:highlight w:val="none"/>
        </w:rPr>
        <w:t>Г.З.Г.</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5rplc-48"/>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3567988670 от 08.11.2014 года </w:t>
      </w:r>
      <w:r>
        <w:rPr>
          <w:rFonts w:ascii="Times New Roman" w:eastAsia="Times New Roman" w:hAnsi="Times New Roman" w:cs="Times New Roman"/>
          <w:sz w:val="26"/>
          <w:szCs w:val="26"/>
          <w:highlight w:val="none"/>
        </w:rPr>
        <w:t xml:space="preserve">в размере </w:t>
      </w:r>
      <w:r>
        <w:rPr>
          <w:rStyle w:val="cat-Sumgrp-8rplc-4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9rplc-50"/>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суда может быть обжаловано сторонами в апелляционном порядке в Московский городской суд через </w:t>
      </w: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Style w:val="cat-Addressgrp-0rplc-5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Н.Н. Назарова</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Мотивированное решение суда изготовлено </w:t>
      </w:r>
      <w:r>
        <w:rPr>
          <w:rFonts w:ascii="Times New Roman" w:eastAsia="Times New Roman" w:hAnsi="Times New Roman" w:cs="Times New Roman"/>
          <w:sz w:val="26"/>
          <w:szCs w:val="26"/>
          <w:highlight w:val="none"/>
        </w:rPr>
        <w:t>21</w:t>
      </w:r>
      <w:r>
        <w:rPr>
          <w:rFonts w:ascii="Times New Roman" w:eastAsia="Times New Roman" w:hAnsi="Times New Roman" w:cs="Times New Roman"/>
          <w:sz w:val="26"/>
          <w:szCs w:val="26"/>
          <w:highlight w:val="none"/>
        </w:rPr>
        <w:t xml:space="preserve"> ноября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3rplc-3">
    <w:name w:val="cat-FIO grp-3 rplc-3"/>
    <w:basedOn w:val="DefaultParagraphFont"/>
  </w:style>
  <w:style w:type="character" w:customStyle="1" w:styleId="cat-UserDefinedgrp-16rplc-4">
    <w:name w:val="cat-UserDefined grp-16 rplc-4"/>
    <w:basedOn w:val="DefaultParagraphFont"/>
  </w:style>
  <w:style w:type="character" w:customStyle="1" w:styleId="cat-UserDefinedgrp-16rplc-6">
    <w:name w:val="cat-UserDefined grp-16 rplc-6"/>
    <w:basedOn w:val="DefaultParagraphFont"/>
  </w:style>
  <w:style w:type="character" w:customStyle="1" w:styleId="cat-UserDefinedgrp-17rplc-8">
    <w:name w:val="cat-UserDefined grp-17 rplc-8"/>
    <w:basedOn w:val="DefaultParagraphFont"/>
  </w:style>
  <w:style w:type="character" w:customStyle="1" w:styleId="cat-PassportDatagrp-14rplc-10">
    <w:name w:val="cat-PassportData grp-14 rplc-10"/>
    <w:basedOn w:val="DefaultParagraphFont"/>
  </w:style>
  <w:style w:type="character" w:customStyle="1" w:styleId="cat-Sumgrp-8rplc-11">
    <w:name w:val="cat-Sum grp-8 rplc-11"/>
    <w:basedOn w:val="DefaultParagraphFont"/>
  </w:style>
  <w:style w:type="character" w:customStyle="1" w:styleId="cat-Sumgrp-9rplc-12">
    <w:name w:val="cat-Sum grp-9 rplc-12"/>
    <w:basedOn w:val="DefaultParagraphFont"/>
  </w:style>
  <w:style w:type="character" w:customStyle="1" w:styleId="cat-Addressgrp-0rplc-13">
    <w:name w:val="cat-Address grp-0 rplc-13"/>
    <w:basedOn w:val="DefaultParagraphFont"/>
  </w:style>
  <w:style w:type="character" w:customStyle="1" w:styleId="cat-Addressgrp-0rplc-15">
    <w:name w:val="cat-Address grp-0 rplc-15"/>
    <w:basedOn w:val="DefaultParagraphFont"/>
  </w:style>
  <w:style w:type="character" w:customStyle="1" w:styleId="cat-Addressgrp-0rplc-16">
    <w:name w:val="cat-Address grp-0 rplc-16"/>
    <w:basedOn w:val="DefaultParagraphFont"/>
  </w:style>
  <w:style w:type="character" w:customStyle="1" w:styleId="cat-FIOgrp-3rplc-18">
    <w:name w:val="cat-FIO grp-3 rplc-18"/>
    <w:basedOn w:val="DefaultParagraphFont"/>
  </w:style>
  <w:style w:type="character" w:customStyle="1" w:styleId="cat-UserDefinedgrp-16rplc-19">
    <w:name w:val="cat-UserDefined grp-16 rplc-19"/>
    <w:basedOn w:val="DefaultParagraphFont"/>
  </w:style>
  <w:style w:type="character" w:customStyle="1" w:styleId="cat-UserDefinedgrp-18rplc-22">
    <w:name w:val="cat-UserDefined grp-18 rplc-22"/>
    <w:basedOn w:val="DefaultParagraphFont"/>
  </w:style>
  <w:style w:type="character" w:customStyle="1" w:styleId="cat-Sumgrp-8rplc-23">
    <w:name w:val="cat-Sum grp-8 rplc-23"/>
    <w:basedOn w:val="DefaultParagraphFont"/>
  </w:style>
  <w:style w:type="character" w:customStyle="1" w:styleId="cat-Sumgrp-9rplc-24">
    <w:name w:val="cat-Sum grp-9 rplc-24"/>
    <w:basedOn w:val="DefaultParagraphFont"/>
  </w:style>
  <w:style w:type="character" w:customStyle="1" w:styleId="cat-Sumgrp-10rplc-25">
    <w:name w:val="cat-Sum grp-10 rplc-25"/>
    <w:basedOn w:val="DefaultParagraphFont"/>
  </w:style>
  <w:style w:type="character" w:customStyle="1" w:styleId="cat-Sumgrp-11rplc-26">
    <w:name w:val="cat-Sum grp-11 rplc-26"/>
    <w:basedOn w:val="DefaultParagraphFont"/>
  </w:style>
  <w:style w:type="character" w:customStyle="1" w:styleId="cat-UserDefinedgrp-18rplc-29">
    <w:name w:val="cat-UserDefined grp-18 rplc-29"/>
    <w:basedOn w:val="DefaultParagraphFont"/>
  </w:style>
  <w:style w:type="character" w:customStyle="1" w:styleId="cat-Sumgrp-12rplc-30">
    <w:name w:val="cat-Sum grp-12 rplc-30"/>
    <w:basedOn w:val="DefaultParagraphFont"/>
  </w:style>
  <w:style w:type="character" w:customStyle="1" w:styleId="cat-Sumgrp-10rplc-31">
    <w:name w:val="cat-Sum grp-10 rplc-31"/>
    <w:basedOn w:val="DefaultParagraphFont"/>
  </w:style>
  <w:style w:type="character" w:customStyle="1" w:styleId="cat-Sumgrp-13rplc-32">
    <w:name w:val="cat-Sum grp-13 rplc-32"/>
    <w:basedOn w:val="DefaultParagraphFont"/>
  </w:style>
  <w:style w:type="character" w:customStyle="1" w:styleId="cat-UserDefinedgrp-18rplc-34">
    <w:name w:val="cat-UserDefined grp-18 rplc-34"/>
    <w:basedOn w:val="DefaultParagraphFont"/>
  </w:style>
  <w:style w:type="character" w:customStyle="1" w:styleId="cat-Addressgrp-1rplc-35">
    <w:name w:val="cat-Address grp-1 rplc-35"/>
    <w:basedOn w:val="DefaultParagraphFont"/>
  </w:style>
  <w:style w:type="character" w:customStyle="1" w:styleId="cat-Addressgrp-1rplc-36">
    <w:name w:val="cat-Address grp-1 rplc-36"/>
    <w:basedOn w:val="DefaultParagraphFont"/>
  </w:style>
  <w:style w:type="character" w:customStyle="1" w:styleId="cat-UserDefinedgrp-18rplc-38">
    <w:name w:val="cat-UserDefined grp-18 rplc-38"/>
    <w:basedOn w:val="DefaultParagraphFont"/>
  </w:style>
  <w:style w:type="character" w:customStyle="1" w:styleId="cat-Addressgrp-1rplc-39">
    <w:name w:val="cat-Address grp-1 rplc-39"/>
    <w:basedOn w:val="DefaultParagraphFont"/>
  </w:style>
  <w:style w:type="character" w:customStyle="1" w:styleId="cat-UserDefinedgrp-18rplc-41">
    <w:name w:val="cat-UserDefined grp-18 rplc-41"/>
    <w:basedOn w:val="DefaultParagraphFont"/>
  </w:style>
  <w:style w:type="character" w:customStyle="1" w:styleId="cat-Sumgrp-8rplc-42">
    <w:name w:val="cat-Sum grp-8 rplc-42"/>
    <w:basedOn w:val="DefaultParagraphFont"/>
  </w:style>
  <w:style w:type="character" w:customStyle="1" w:styleId="cat-Sumgrp-9rplc-43">
    <w:name w:val="cat-Sum grp-9 rplc-43"/>
    <w:basedOn w:val="DefaultParagraphFont"/>
  </w:style>
  <w:style w:type="character" w:customStyle="1" w:styleId="cat-UserDefinedgrp-16rplc-44">
    <w:name w:val="cat-UserDefined grp-16 rplc-44"/>
    <w:basedOn w:val="DefaultParagraphFont"/>
  </w:style>
  <w:style w:type="character" w:customStyle="1" w:styleId="cat-UserDefinedgrp-17rplc-46">
    <w:name w:val="cat-UserDefined grp-17 rplc-46"/>
    <w:basedOn w:val="DefaultParagraphFont"/>
  </w:style>
  <w:style w:type="character" w:customStyle="1" w:styleId="cat-PassportDatagrp-15rplc-48">
    <w:name w:val="cat-PassportData grp-15 rplc-48"/>
    <w:basedOn w:val="DefaultParagraphFont"/>
  </w:style>
  <w:style w:type="character" w:customStyle="1" w:styleId="cat-Sumgrp-8rplc-49">
    <w:name w:val="cat-Sum grp-8 rplc-49"/>
    <w:basedOn w:val="DefaultParagraphFont"/>
  </w:style>
  <w:style w:type="character" w:customStyle="1" w:styleId="cat-Sumgrp-9rplc-50">
    <w:name w:val="cat-Sum grp-9 rplc-50"/>
    <w:basedOn w:val="DefaultParagraphFont"/>
  </w:style>
  <w:style w:type="character" w:customStyle="1" w:styleId="cat-Addressgrp-0rplc-51">
    <w:name w:val="cat-Address grp-0 rplc-5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