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0909C3" w14:textId="77777777" w:rsidR="00000000" w:rsidRDefault="00454104">
      <w:pPr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77RS0004-02-2023-008329-03</w:t>
      </w:r>
    </w:p>
    <w:p w14:paraId="23C83CB5" w14:textId="77777777" w:rsidR="00000000" w:rsidRDefault="00454104">
      <w:pPr>
        <w:ind w:firstLine="567"/>
        <w:jc w:val="center"/>
        <w:rPr>
          <w:lang w:val="en-BE" w:eastAsia="en-BE" w:bidi="ar-SA"/>
        </w:rPr>
      </w:pPr>
    </w:p>
    <w:p w14:paraId="53CDAE70" w14:textId="77777777" w:rsidR="00000000" w:rsidRDefault="00454104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14A9F1DB" w14:textId="77777777" w:rsidR="00000000" w:rsidRDefault="00454104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6B01900" w14:textId="77777777" w:rsidR="00000000" w:rsidRDefault="00454104">
      <w:pPr>
        <w:ind w:firstLine="567"/>
        <w:jc w:val="both"/>
        <w:rPr>
          <w:lang w:val="en-BE" w:eastAsia="en-BE" w:bidi="ar-SA"/>
        </w:rPr>
      </w:pPr>
    </w:p>
    <w:p w14:paraId="3CBC08EA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                                                                        26 сентября 2023 года</w:t>
      </w:r>
    </w:p>
    <w:p w14:paraId="14AED2C6" w14:textId="77777777" w:rsidR="00000000" w:rsidRDefault="00454104">
      <w:pPr>
        <w:ind w:firstLine="567"/>
        <w:jc w:val="both"/>
        <w:rPr>
          <w:lang w:val="en-BE" w:eastAsia="en-BE" w:bidi="ar-SA"/>
        </w:rPr>
      </w:pPr>
    </w:p>
    <w:p w14:paraId="11D8C0A3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Гагаринский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Ш</w:t>
      </w:r>
      <w:r>
        <w:rPr>
          <w:lang w:val="en-BE" w:eastAsia="en-BE" w:bidi="ar-SA"/>
        </w:rPr>
        <w:t>естакова Д.Г., при секретаре Кудашовой А.С., рассмотрев в открытом судебном заседании гражданское дело № 2-5376/2023 по иску Суздаленковой Натальи Владимировны к ПАО Сбербанк о признании кредитного договора ничтожным, аннулировании задолженности, взыскании</w:t>
      </w:r>
      <w:r>
        <w:rPr>
          <w:lang w:val="en-BE" w:eastAsia="en-BE" w:bidi="ar-SA"/>
        </w:rPr>
        <w:t xml:space="preserve"> компенсации морального вреда, </w:t>
      </w:r>
    </w:p>
    <w:p w14:paraId="4362E45D" w14:textId="77777777" w:rsidR="00000000" w:rsidRDefault="00454104">
      <w:pPr>
        <w:ind w:firstLine="567"/>
        <w:jc w:val="both"/>
        <w:rPr>
          <w:lang w:val="en-BE" w:eastAsia="en-BE" w:bidi="ar-SA"/>
        </w:rPr>
      </w:pPr>
    </w:p>
    <w:p w14:paraId="43DF91A3" w14:textId="77777777" w:rsidR="00000000" w:rsidRDefault="00454104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72E2E97C" w14:textId="77777777" w:rsidR="00000000" w:rsidRDefault="00454104">
      <w:pPr>
        <w:ind w:firstLine="567"/>
        <w:jc w:val="center"/>
        <w:rPr>
          <w:lang w:val="en-BE" w:eastAsia="en-BE" w:bidi="ar-SA"/>
        </w:rPr>
      </w:pPr>
    </w:p>
    <w:p w14:paraId="062440FF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Суздаленкова Н.В. обратилась в суд с иском к ПАО Сбербанк о признании кредитного договора ничтожным, аннулировании задолженности, взыскании компенсации морального вреда, мотивируя свои требования тем, что </w:t>
      </w:r>
      <w:r>
        <w:rPr>
          <w:lang w:val="en-BE" w:eastAsia="en-BE" w:bidi="ar-SA"/>
        </w:rPr>
        <w:t xml:space="preserve">ей позвонил сотрудник ПАО Сбербанк который сообщил, что на его имя оформили кредит в ПАО Сбербанк, после чего истец обнаружила в приложении Сбербанк Онлайн 2 заявки на потребительские кредиты. Сотрудник ПАО Сбербанк сообщил, что кредит на сумму </w:t>
      </w:r>
      <w:r>
        <w:rPr>
          <w:rStyle w:val="cat-Sumgrp-9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необх</w:t>
      </w:r>
      <w:r>
        <w:rPr>
          <w:lang w:val="en-BE" w:eastAsia="en-BE" w:bidi="ar-SA"/>
        </w:rPr>
        <w:t xml:space="preserve">одимо обналичить и положить на счет сейфовой ячейки для того, чтобы вернуть данную сумму Банку. 24.04.2023 под воздействием сотрудника Банка через банкомат истцом была совершена операция выдачи наличных средств на сумму </w:t>
      </w:r>
      <w:r>
        <w:rPr>
          <w:rStyle w:val="cat-Sumgrp-10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</w:t>
      </w:r>
      <w:r>
        <w:rPr>
          <w:rStyle w:val="cat-Sumgrp-11rplc-8"/>
          <w:lang w:val="en-BE" w:eastAsia="en-BE" w:bidi="ar-SA"/>
        </w:rPr>
        <w:t>сумма</w:t>
      </w:r>
      <w:r>
        <w:rPr>
          <w:lang w:val="en-BE" w:eastAsia="en-BE" w:bidi="ar-SA"/>
        </w:rPr>
        <w:t>. Денежные средства был</w:t>
      </w:r>
      <w:r>
        <w:rPr>
          <w:lang w:val="en-BE" w:eastAsia="en-BE" w:bidi="ar-SA"/>
        </w:rPr>
        <w:t xml:space="preserve">и внесены на счет, открытый в ПАО ФК «Открытие». 25.04.2023 также под воздействием сотрудника Банка была совершена операция выдачи наличных средств с кредитной карты ПАО Сбербанк через банкомат на сумму </w:t>
      </w:r>
      <w:r>
        <w:rPr>
          <w:rStyle w:val="cat-Sumgrp-12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были внесены на счет ПАО ФК «Открытие». После</w:t>
      </w:r>
      <w:r>
        <w:rPr>
          <w:lang w:val="en-BE" w:eastAsia="en-BE" w:bidi="ar-SA"/>
        </w:rPr>
        <w:t xml:space="preserve"> совершенных действий истец полагала кредит на сумму </w:t>
      </w:r>
      <w:r>
        <w:rPr>
          <w:rStyle w:val="cat-Sumgrp-9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возвращенным. При этом, сотрудники ПАО Сбербанк не предпринимали никаких мер для приостановки данных операций и признании данных операций «подозрительными». Истец полагает, что неустановленные сотр</w:t>
      </w:r>
      <w:r>
        <w:rPr>
          <w:lang w:val="en-BE" w:eastAsia="en-BE" w:bidi="ar-SA"/>
        </w:rPr>
        <w:t>удники Банка оформили на имя истца потребительский кредит, после чего завладели денежными средствами и распорядились ими по своему усмотрению. По данному факту истец обратилась в полицию, было возбуждено уголовное дело. 04.06.2023 истец обратилась в Банк с</w:t>
      </w:r>
      <w:r>
        <w:rPr>
          <w:lang w:val="en-BE" w:eastAsia="en-BE" w:bidi="ar-SA"/>
        </w:rPr>
        <w:t xml:space="preserve"> требованием о признании кредитного договора ничтожным и его аннулировании, однако заявка была отклонена. </w:t>
      </w:r>
    </w:p>
    <w:p w14:paraId="37DE2F5C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просит суд: признать кредитный договор № 862259 от 24.04.2023 ничтожным; аннулировать задолженность по договору № 42ТКПР2209150</w:t>
      </w:r>
      <w:r>
        <w:rPr>
          <w:lang w:val="en-BE" w:eastAsia="en-BE" w:bidi="ar-SA"/>
        </w:rPr>
        <w:t xml:space="preserve">0101007 от 15.09.2022; взыскать с ответчика компенсацию морального вреда в размере </w:t>
      </w:r>
      <w:r>
        <w:rPr>
          <w:rStyle w:val="cat-Sumgrp-13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61CBA327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в судебное заседание не явилась, о времени и ме5сте рассмотрения дела извещалась судом надлежащим образом, направила в адрес суда ходатайство о рассмотрении де</w:t>
      </w:r>
      <w:r>
        <w:rPr>
          <w:lang w:val="en-BE" w:eastAsia="en-BE" w:bidi="ar-SA"/>
        </w:rPr>
        <w:t xml:space="preserve">ла в ее отсутствие. </w:t>
      </w:r>
    </w:p>
    <w:p w14:paraId="5C3EFAFD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ответчика по доверенности </w:t>
      </w:r>
      <w:r>
        <w:rPr>
          <w:rStyle w:val="cat-FIOgrp-6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судебном заседании возражал против удовлетворения заявленных требований, на основании доводов, изложенных в письменных возражениях.  </w:t>
      </w:r>
    </w:p>
    <w:p w14:paraId="772FA45B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огласив исковое заявление, возражения ответчика, в</w:t>
      </w:r>
      <w:r>
        <w:rPr>
          <w:lang w:val="en-BE" w:eastAsia="en-BE" w:bidi="ar-SA"/>
        </w:rPr>
        <w:t xml:space="preserve">ыслушав доводы представителя ответчика, исследовав письменные материалы дела, приходит к выводу об отсутствии правовых оснований для удовлетворения заявленных требований на основании следующего. </w:t>
      </w:r>
    </w:p>
    <w:p w14:paraId="79C13F33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Как следует из положений ст.ст. 309, 310 Гражданского кодекс</w:t>
      </w:r>
      <w:r>
        <w:rPr>
          <w:lang w:val="en-BE" w:eastAsia="en-BE" w:bidi="ar-SA"/>
        </w:rPr>
        <w:t>а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или иными обычно предъявляемыми требовани</w:t>
      </w:r>
      <w:r>
        <w:rPr>
          <w:lang w:val="en-BE" w:eastAsia="en-BE" w:bidi="ar-SA"/>
        </w:rPr>
        <w:t>ями.</w:t>
      </w:r>
    </w:p>
    <w:p w14:paraId="05A28962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Односторонний отказ от исполнения обязательства и одностороннее изменение его условий не допускаются, за исключением случаев, предусмотренных настоящим Кодексом, другими законами или иными правовыми актами.</w:t>
      </w:r>
    </w:p>
    <w:p w14:paraId="477D1FD6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ст.819 Гражданского кодекса РФ, по </w:t>
      </w:r>
      <w:r>
        <w:rPr>
          <w:lang w:val="en-BE" w:eastAsia="en-BE" w:bidi="ar-SA"/>
        </w:rPr>
        <w:t>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</w:t>
      </w:r>
      <w:r>
        <w:rPr>
          <w:lang w:val="en-BE" w:eastAsia="en-BE" w:bidi="ar-SA"/>
        </w:rPr>
        <w:t>а нее. К отношениям по кредитному договору применяются правила, предусмотренные параграфом 1 главы 42 ГК РФ, если иное не предусмотрено правилами параграфа 2 главы 42 ГК РФ и не вытекает из существа кредитного договора.</w:t>
      </w:r>
    </w:p>
    <w:p w14:paraId="263B272A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ст.810 Гражданског</w:t>
      </w:r>
      <w:r>
        <w:rPr>
          <w:lang w:val="en-BE" w:eastAsia="en-BE" w:bidi="ar-SA"/>
        </w:rPr>
        <w:t>о кодекса РФ, заемщик обязан возвратить займодавцу полученную сумму займа в срок и в порядке, которые предусмотрены договором займа.</w:t>
      </w:r>
    </w:p>
    <w:p w14:paraId="465A489B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материалов гражданского дела, 29.03.2010 между ПАО Сбербанк и Суздаленковой Н.В. был заключен договор банков</w:t>
      </w:r>
      <w:r>
        <w:rPr>
          <w:lang w:val="en-BE" w:eastAsia="en-BE" w:bidi="ar-SA"/>
        </w:rPr>
        <w:t xml:space="preserve">ского обслуживания № 492700000767 на основании поданного истцом заявления. </w:t>
      </w:r>
    </w:p>
    <w:p w14:paraId="10A02DB1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Факт ознакомления с Условиями банковского обслуживания подтвержден личной подписью истца в заявлении. </w:t>
      </w:r>
    </w:p>
    <w:p w14:paraId="6C05886F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1.5 Условий банковского обслуживания установлено, что в р</w:t>
      </w:r>
      <w:r>
        <w:rPr>
          <w:lang w:val="en-BE" w:eastAsia="en-BE" w:bidi="ar-SA"/>
        </w:rPr>
        <w:t xml:space="preserve">амках ДБО клиенту предоставляются виды услуг, в том числе, выпуск и обслуживание банковских карт, открытых как до, так и после заключения Договора банковского обслуживания, в соответствии с п. 1.9 Условий банковского обслуживания. </w:t>
      </w:r>
    </w:p>
    <w:p w14:paraId="2B4FFFD0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20.06.2018 Суздаленковой</w:t>
      </w:r>
      <w:r>
        <w:rPr>
          <w:lang w:val="en-BE" w:eastAsia="en-BE" w:bidi="ar-SA"/>
        </w:rPr>
        <w:t xml:space="preserve"> Н.В. была выдана дебетовая карта Visa Gold № 4279*******</w:t>
      </w:r>
      <w:r>
        <w:rPr>
          <w:rStyle w:val="cat-UserDefinedgrp-16rplc-15"/>
          <w:lang w:val="en-BE" w:eastAsia="en-BE" w:bidi="ar-SA"/>
        </w:rPr>
        <w:t>...</w:t>
      </w:r>
      <w:r>
        <w:rPr>
          <w:lang w:val="en-BE" w:eastAsia="en-BE" w:bidi="ar-SA"/>
        </w:rPr>
        <w:t xml:space="preserve"> и открыт счет для учета операций по данной карте № </w:t>
      </w:r>
      <w:r>
        <w:rPr>
          <w:rStyle w:val="cat-UserDefinedgrp-17rplc-16"/>
          <w:lang w:val="en-BE" w:eastAsia="en-BE" w:bidi="ar-SA"/>
        </w:rPr>
        <w:t>...</w:t>
      </w:r>
      <w:r>
        <w:rPr>
          <w:lang w:val="en-BE" w:eastAsia="en-BE" w:bidi="ar-SA"/>
        </w:rPr>
        <w:t>, далее в связи с истечением срока карта была перевыпущена на № 4279******</w:t>
      </w:r>
      <w:r>
        <w:rPr>
          <w:rStyle w:val="cat-UserDefinedgrp-18rplc-17"/>
          <w:lang w:val="en-BE" w:eastAsia="en-BE" w:bidi="ar-SA"/>
        </w:rPr>
        <w:t>...</w:t>
      </w:r>
      <w:r>
        <w:rPr>
          <w:lang w:val="en-BE" w:eastAsia="en-BE" w:bidi="ar-SA"/>
        </w:rPr>
        <w:t xml:space="preserve"> и активирована истцом 20.01.2021.</w:t>
      </w:r>
    </w:p>
    <w:p w14:paraId="3715A136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указанную дату 20.10.2021 и</w:t>
      </w:r>
      <w:r>
        <w:rPr>
          <w:lang w:val="en-BE" w:eastAsia="en-BE" w:bidi="ar-SA"/>
        </w:rPr>
        <w:t>стец в системе «Сбербанк Онлайн» самостоятельно подключила банковскую карту № 4279****</w:t>
      </w:r>
      <w:r>
        <w:rPr>
          <w:rStyle w:val="cat-UserDefinedgrp-18rplc-18"/>
          <w:lang w:val="en-BE" w:eastAsia="en-BE" w:bidi="ar-SA"/>
        </w:rPr>
        <w:t>...</w:t>
      </w:r>
      <w:r>
        <w:rPr>
          <w:lang w:val="en-BE" w:eastAsia="en-BE" w:bidi="ar-SA"/>
        </w:rPr>
        <w:t xml:space="preserve"> к номеру телефона </w:t>
      </w:r>
      <w:r>
        <w:rPr>
          <w:rStyle w:val="cat-PhoneNumbergrp-15rplc-19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услугу «Мобильный банк». Факт принадлежности номера телефона истцом не оспаривается. </w:t>
      </w:r>
    </w:p>
    <w:p w14:paraId="53D65581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12.01.2021 истец самостоятельно осуществила удаленную </w:t>
      </w:r>
      <w:r>
        <w:rPr>
          <w:lang w:val="en-BE" w:eastAsia="en-BE" w:bidi="ar-SA"/>
        </w:rPr>
        <w:t>регистрацию в мобильном приложении «Сбербанк Онлайн для Android».</w:t>
      </w:r>
    </w:p>
    <w:p w14:paraId="609B1B3D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24.04.2023 посредством направления в Банк в системе Сбербанк Онлайн заявки на кредит, подтверждения одобренных Банком условий Кредита в системе и зачисления денежных средств на счет между ПА</w:t>
      </w:r>
      <w:r>
        <w:rPr>
          <w:lang w:val="en-BE" w:eastAsia="en-BE" w:bidi="ar-SA"/>
        </w:rPr>
        <w:t xml:space="preserve">О Сбербанк и Суздаленковой Н.В. был заключен кредитный договор № 862259 по условиям которого Банк предоставил заемщику кредит на сумму </w:t>
      </w:r>
      <w:r>
        <w:rPr>
          <w:rStyle w:val="cat-Sumgrp-14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14,40 % годовых на срок 60 месяцев.</w:t>
      </w:r>
    </w:p>
    <w:p w14:paraId="3970EA26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Согласие с условиями кредитного договора, его подписание подтверждается рас</w:t>
      </w:r>
      <w:r>
        <w:rPr>
          <w:lang w:val="en-BE" w:eastAsia="en-BE" w:bidi="ar-SA"/>
        </w:rPr>
        <w:t xml:space="preserve">печаткой из протокола совершения операций ПАО Сбербанк. </w:t>
      </w:r>
    </w:p>
    <w:p w14:paraId="3BD3785D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Факт получения истцом денежных средств по кредитному договору не оспаривается. </w:t>
      </w:r>
    </w:p>
    <w:p w14:paraId="3ABD6958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также ссылается на нарушение письменной формы кредитного договора. </w:t>
      </w:r>
    </w:p>
    <w:p w14:paraId="0F7F1B7B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п.1 ст.425 Гражданского кодекса РФ дог</w:t>
      </w:r>
      <w:r>
        <w:rPr>
          <w:lang w:val="en-BE" w:eastAsia="en-BE" w:bidi="ar-SA"/>
        </w:rPr>
        <w:t>овор вступает в силу и становится обязательным для сторон с момента его заключения.</w:t>
      </w:r>
    </w:p>
    <w:p w14:paraId="1A4DEE3D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силу ст.432 Гражданского кодекса РФ договор считается заключенным, если между сторонами, в требуемой в подлежащих случаях форме, достигнуто соглашение по всем существенны</w:t>
      </w:r>
      <w:r>
        <w:rPr>
          <w:lang w:val="en-BE" w:eastAsia="en-BE" w:bidi="ar-SA"/>
        </w:rPr>
        <w:t>м условиям договора.</w:t>
      </w:r>
    </w:p>
    <w:p w14:paraId="3AB9689C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</w:t>
      </w:r>
      <w:r>
        <w:rPr>
          <w:lang w:val="en-BE" w:eastAsia="en-BE" w:bidi="ar-SA"/>
        </w:rPr>
        <w:t>из сторон должно быть достигнуто соглашение.</w:t>
      </w:r>
    </w:p>
    <w:p w14:paraId="75EF0954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14:paraId="6E45C17E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Сторона, принявшая от другой стороны полное или частичное и</w:t>
      </w:r>
      <w:r>
        <w:rPr>
          <w:lang w:val="en-BE" w:eastAsia="en-BE" w:bidi="ar-SA"/>
        </w:rPr>
        <w:t>сполнение по договору либо иным образом подтвердившая действие договора, не вправе требовать признания этого договора незаключенным, если заявление такого требования с учетом конкретных обстоятельств будет противоречить принципу добросовестности.</w:t>
      </w:r>
    </w:p>
    <w:p w14:paraId="051CE0DC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</w:t>
      </w:r>
      <w:r>
        <w:rPr>
          <w:lang w:val="en-BE" w:eastAsia="en-BE" w:bidi="ar-SA"/>
        </w:rPr>
        <w:t>.434 Гражданского кодекса РФ договор может быть заключен в любой форме, предусмотренной для совершения сделок, если законом для договоров данного вида не установлена определенная форма.</w:t>
      </w:r>
    </w:p>
    <w:p w14:paraId="3FEB028E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 в письменной форме может быть заключен путем составления одног</w:t>
      </w:r>
      <w:r>
        <w:rPr>
          <w:lang w:val="en-BE" w:eastAsia="en-BE" w:bidi="ar-SA"/>
        </w:rPr>
        <w:t>о документа (в том числе электронного), подписанного сторонами, или обмена письмами, телеграммами, электронными документами либо иными данными в соответствии с правилами абзаца второго пункта 1 статьи 160 настоящего Кодекса, согласно которого письменная фо</w:t>
      </w:r>
      <w:r>
        <w:rPr>
          <w:lang w:val="en-BE" w:eastAsia="en-BE" w:bidi="ar-SA"/>
        </w:rPr>
        <w:t>рма сделки считается соблюденной также в случае совершения лицом сделки с помощью электронных либо иных технических средств, позволяющих воспроизвести на материальном носителе в неизменном виде содержание сделки, при этом требование о наличии подписи счита</w:t>
      </w:r>
      <w:r>
        <w:rPr>
          <w:lang w:val="en-BE" w:eastAsia="en-BE" w:bidi="ar-SA"/>
        </w:rPr>
        <w:t>ется выполненным, если использован любой способ, позволяющий достоверно определить лицо, выразившее волю. Законом, иными правовыми актами и соглашением сторон может быть предусмотрен специальный способ достоверного определения лица, выразившего волю.</w:t>
      </w:r>
    </w:p>
    <w:p w14:paraId="35CDE8FD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Испол</w:t>
      </w:r>
      <w:r>
        <w:rPr>
          <w:lang w:val="en-BE" w:eastAsia="en-BE" w:bidi="ar-SA"/>
        </w:rPr>
        <w:t>ьзование при совершении сделок факсимильного воспроизведения подписи с помощью средств механического или иного копирования либо иного аналога собственноручной подписи допускается в случаях и в порядке, предусмотренных законом, иными правовыми актами или со</w:t>
      </w:r>
      <w:r>
        <w:rPr>
          <w:lang w:val="en-BE" w:eastAsia="en-BE" w:bidi="ar-SA"/>
        </w:rPr>
        <w:t>глашением сторон (п.2 ст.160 ГК РФ).</w:t>
      </w:r>
    </w:p>
    <w:p w14:paraId="376FFEDD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соответствие с ч.4 ст.11 Федерального закона от 27 июля 2006 года № 149-ФЗ «Об информации, информационных технологиях и о защите информации» в целях заключения гражданско-правовых договоров или оформления иных правоот</w:t>
      </w:r>
      <w:r>
        <w:rPr>
          <w:lang w:val="en-BE" w:eastAsia="en-BE" w:bidi="ar-SA"/>
        </w:rPr>
        <w:t>ношений, в которых участвуют лица, обменивающиеся электронными сообщениями, обмен электронными сообщениями, каждое из которых подписано электронной подписью или иным аналогом собственноручной подписи отправителя такого сообщения, в порядке, установленном ф</w:t>
      </w:r>
      <w:r>
        <w:rPr>
          <w:lang w:val="en-BE" w:eastAsia="en-BE" w:bidi="ar-SA"/>
        </w:rPr>
        <w:t>едеральными законами, иными нормативными правовыми актами или соглашением сторон, рассматривается как обмен документами.</w:t>
      </w:r>
    </w:p>
    <w:p w14:paraId="5E912CAA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ч.7 ст.7 Федерального закона от 21.12.2013 года № 353-ФЗ «О потребительском кредите (займе) договор потребительского кредита с</w:t>
      </w:r>
      <w:r>
        <w:rPr>
          <w:lang w:val="en-BE" w:eastAsia="en-BE" w:bidi="ar-SA"/>
        </w:rPr>
        <w:t>читается заключенным, если между сторонами договора достигнуто согласие по всем индивидуальным условиям договора, указанным в ч.9 ст.5 настоящего Федерального закона. Договор потребительского займа считается заключенным с момента передачи заемщику денежных</w:t>
      </w:r>
      <w:r>
        <w:rPr>
          <w:lang w:val="en-BE" w:eastAsia="en-BE" w:bidi="ar-SA"/>
        </w:rPr>
        <w:t xml:space="preserve"> средств.</w:t>
      </w:r>
    </w:p>
    <w:p w14:paraId="026B616F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Документы, необходимые для заключения договора потребительского кредита (займа) в соответствии с настоящей статьей, включая индивидуальные условия договора потребительского кредита (займа) и заявление о предоставлении потребительского кредита (за</w:t>
      </w:r>
      <w:r>
        <w:rPr>
          <w:lang w:val="en-BE" w:eastAsia="en-BE" w:bidi="ar-SA"/>
        </w:rPr>
        <w:t>йма), могут быть подписаны сторонами с использованием аналога собственноручной подписи способом, подтверждающим ее принадлежность сторонам в соответствии с требованиями федеральных законов, и направлены с использованием информационно-телекоммуникационных с</w:t>
      </w:r>
      <w:r>
        <w:rPr>
          <w:lang w:val="en-BE" w:eastAsia="en-BE" w:bidi="ar-SA"/>
        </w:rPr>
        <w:t>етей, в том числе сети «Интернет». При каждом ознакомлении в информационно-телекоммуникационной сети «Интернет» с индивидуальными условиями договора потребительского кредита (займа) заемщик должен получать уведомление о сроке, в течение которого на таких у</w:t>
      </w:r>
      <w:r>
        <w:rPr>
          <w:lang w:val="en-BE" w:eastAsia="en-BE" w:bidi="ar-SA"/>
        </w:rPr>
        <w:t xml:space="preserve">словиях с заемщиком может быть заключен договор потребительского кредита (займа) и который определяется в соответствии с настоящим Федеральным законом (ч.14 ст.7 названного ФЗ). </w:t>
      </w:r>
    </w:p>
    <w:p w14:paraId="6C859379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ст.ст. 166, 168 Гражданского кодекса РФ сделка недействительна по осно</w:t>
      </w:r>
      <w:r>
        <w:rPr>
          <w:lang w:val="en-BE" w:eastAsia="en-BE" w:bidi="ar-SA"/>
        </w:rPr>
        <w:t>ваниям, установленным законом, в силу признания ее таковой судом (оспоримая сделка) либо независимо от такого признания (ничтожная сделка).</w:t>
      </w:r>
    </w:p>
    <w:p w14:paraId="5B7772FB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 исключением случаев, предусмотренных пунктом 2 настоящей статьи или иным законом, сделка, нарушающая требования з</w:t>
      </w:r>
      <w:r>
        <w:rPr>
          <w:lang w:val="en-BE" w:eastAsia="en-BE" w:bidi="ar-SA"/>
        </w:rPr>
        <w:t>акона или иного правового акта, является оспоримой, если из закона не следует, что должны применяться другие последствия нарушения, не связанные с недействительностью сделки.</w:t>
      </w:r>
    </w:p>
    <w:p w14:paraId="1082F8DA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3.9 Приложения 1 к Условиям банковского обслуживания, электронные докумен</w:t>
      </w:r>
      <w:r>
        <w:rPr>
          <w:lang w:val="en-BE" w:eastAsia="en-BE" w:bidi="ar-SA"/>
        </w:rPr>
        <w:t>ты, в том числе договоры и заявления, подписанные с использованием аналога собственноручной подписи/простой электронной подписью, признаются Банком и Клиентом равнозначными документам на бумажном носителе, подписанным собственноручной подписью, и могут слу</w:t>
      </w:r>
      <w:r>
        <w:rPr>
          <w:lang w:val="en-BE" w:eastAsia="en-BE" w:bidi="ar-SA"/>
        </w:rPr>
        <w:t xml:space="preserve">жить доказательством в суде. </w:t>
      </w:r>
    </w:p>
    <w:p w14:paraId="0B918BBB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п.2.38 Условий банковского обслуживания физических лиц, система «Сбербанк онлайн» - это удаленный канал обслуживания Банка, автоматизированная защищенная система дистанционного обслуживания клиента через официальный с</w:t>
      </w:r>
      <w:r>
        <w:rPr>
          <w:lang w:val="en-BE" w:eastAsia="en-BE" w:bidi="ar-SA"/>
        </w:rPr>
        <w:t>айт Банка в сети Интернет, а также Мобильное приложение банка.</w:t>
      </w:r>
    </w:p>
    <w:p w14:paraId="69AA31D0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п.3.1 Порядка предоставления ПАО Сбербанк услуг через удаленные каналы обслуживания система «Сбербанк онлайн» обеспечивает возможность совершения клиентом операций по счетам карт, вкла</w:t>
      </w:r>
      <w:r>
        <w:rPr>
          <w:lang w:val="en-BE" w:eastAsia="en-BE" w:bidi="ar-SA"/>
        </w:rPr>
        <w:t>дам и иным счетам, открытым в банке, а также оказания клиенту иных финансовых услуг; доступ к информации о своих счетах, вкладах и о других приобретенных банковских продуктах и услугах. А также к информации о расходном лимите по бизнес-картам клиента; возм</w:t>
      </w:r>
      <w:r>
        <w:rPr>
          <w:lang w:val="en-BE" w:eastAsia="en-BE" w:bidi="ar-SA"/>
        </w:rPr>
        <w:t>ожность совершения действий по получению от банка, формированию, направлению в банк электронных документов (в том числе для целей заключения договоров между клиентом и банком), а также по подписанию электронных документов аналогом собственноручной подписи/</w:t>
      </w:r>
      <w:r>
        <w:rPr>
          <w:lang w:val="en-BE" w:eastAsia="en-BE" w:bidi="ar-SA"/>
        </w:rPr>
        <w:t>простой электронной подписью клиента; доступ к сохраненным копиям электронных документов; возможность обмена с использованием Мобильного приложения банка текстовыми сообщениями, аудио, фото- и видео – информацией, графическими изображениями, и иной информа</w:t>
      </w:r>
      <w:r>
        <w:rPr>
          <w:lang w:val="en-BE" w:eastAsia="en-BE" w:bidi="ar-SA"/>
        </w:rPr>
        <w:t>цией в режиме реального времени.</w:t>
      </w:r>
    </w:p>
    <w:p w14:paraId="4145F133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рамках договора, клиенту предоставляется возможность проведения банковских операций через удаленные каналы обслуживания.</w:t>
      </w:r>
    </w:p>
    <w:p w14:paraId="3342F5F0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п.3.6, п.3.7 Приложения № 1 к Условиям банковского обслуживания физических лиц ПАО Сб</w:t>
      </w:r>
      <w:r>
        <w:rPr>
          <w:lang w:val="en-BE" w:eastAsia="en-BE" w:bidi="ar-SA"/>
        </w:rPr>
        <w:t>ербанк, основанием для предоставления услуг проведения банковских операций в системе «Сбербанк Онлайн» является подключение клиента к система «Сбербанк Онлайн» путем получения идентификатора пользователя (через устройство самообслуживания банка с использов</w:t>
      </w:r>
      <w:r>
        <w:rPr>
          <w:lang w:val="en-BE" w:eastAsia="en-BE" w:bidi="ar-SA"/>
        </w:rPr>
        <w:t>анием карты и вводом ПИНа или через контактный центр банка) и постоянного пароля (через устройство самообслуживания банка с использованием карты и вводом ПИНа или мобильный телефон клиента, подключенный к системе «Мобильного банка» по Картам). Услуги предо</w:t>
      </w:r>
      <w:r>
        <w:rPr>
          <w:lang w:val="en-BE" w:eastAsia="en-BE" w:bidi="ar-SA"/>
        </w:rPr>
        <w:t>ставляются при условии положительной идентификации и аутентификации Клиента в системе «Сбербанк Онлайн».</w:t>
      </w:r>
    </w:p>
    <w:p w14:paraId="2AE1CBCF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Клиент соглашается с получением услуг посредством системы «Сбербанк Онлайн» через сеть Интернет, осознавая, что сеть Интернет не является безопасным ка</w:t>
      </w:r>
      <w:r>
        <w:rPr>
          <w:lang w:val="en-BE" w:eastAsia="en-BE" w:bidi="ar-SA"/>
        </w:rPr>
        <w:t>налом связи, и соглашается нести финансовые риски и риски нарушения конфиденциальности, связанные с возможной компрометацией информации при ее передаче через сеть Интернет (п.3.10 Приложения № 1 к Условиям банковского обслуживания физических лиц ПАО Сберба</w:t>
      </w:r>
      <w:r>
        <w:rPr>
          <w:lang w:val="en-BE" w:eastAsia="en-BE" w:bidi="ar-SA"/>
        </w:rPr>
        <w:t>нк).</w:t>
      </w:r>
    </w:p>
    <w:p w14:paraId="335492F3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п.3.9 Условий, клиент соглашается с тем, что постоянный и одноразовый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</w:t>
      </w:r>
      <w:r>
        <w:rPr>
          <w:lang w:val="en-BE" w:eastAsia="en-BE" w:bidi="ar-SA"/>
        </w:rPr>
        <w:t>кументам на бумажном носителе и могут служить доказательством в суде. 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Сделки</w:t>
      </w:r>
      <w:r>
        <w:rPr>
          <w:lang w:val="en-BE" w:eastAsia="en-BE" w:bidi="ar-SA"/>
        </w:rPr>
        <w:t>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договором, удовлетворяют требованиям совершения сделок в простой письменной форме в случаях, предусмотрен</w:t>
      </w:r>
      <w:r>
        <w:rPr>
          <w:lang w:val="en-BE" w:eastAsia="en-BE" w:bidi="ar-SA"/>
        </w:rPr>
        <w:t>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14:paraId="4E964A72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Клиент соглашается с тем, что документальным подтверждением факта совершения им операции является про</w:t>
      </w:r>
      <w:r>
        <w:rPr>
          <w:lang w:val="en-BE" w:eastAsia="en-BE" w:bidi="ar-SA"/>
        </w:rPr>
        <w:t>токол проведения операций в автоматизированной системе банка, подтверждающий корректную идентификацию и аутентификацию клиента, и совершение операции в такой системе (копии прилагаются).</w:t>
      </w:r>
    </w:p>
    <w:p w14:paraId="76B2CCE7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Без положительной аутентификации (введение постоянного пароля и/или о</w:t>
      </w:r>
      <w:r>
        <w:rPr>
          <w:lang w:val="en-BE" w:eastAsia="en-BE" w:bidi="ar-SA"/>
        </w:rPr>
        <w:t>дноразовых паролей) и идентификации (соответствие идентификатора пользователя, введенного клиентом в систему «Сбербанк Онлайн», идентификатору пользователя, присвоенному клиенту и содержащемуся в базе данных банка) Клиента осуществление каких-либо операций</w:t>
      </w:r>
      <w:r>
        <w:rPr>
          <w:lang w:val="en-BE" w:eastAsia="en-BE" w:bidi="ar-SA"/>
        </w:rPr>
        <w:t xml:space="preserve"> с использованием системы невозможно. Без идентификатора пользователя и паролей, имеющихся у клиента вход в систему «Сбербанк Онлайн» невозможен.</w:t>
      </w:r>
    </w:p>
    <w:p w14:paraId="446BC3C9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Оценивая имеющиеся в материалах дела доказательства в соответствии с требованиями ст.ст.67, 71 ГПК РФ, суд при</w:t>
      </w:r>
      <w:r>
        <w:rPr>
          <w:lang w:val="en-BE" w:eastAsia="en-BE" w:bidi="ar-SA"/>
        </w:rPr>
        <w:t>ходит к выводу, что кредитный договор был заключен в офертно-акцептном порядке, путем направления в банк предложения заключить с ним договор с применением аналога собственноручной подписи, и акцепта со стороны банка, путем зачисления денежных средств на сч</w:t>
      </w:r>
      <w:r>
        <w:rPr>
          <w:lang w:val="en-BE" w:eastAsia="en-BE" w:bidi="ar-SA"/>
        </w:rPr>
        <w:t xml:space="preserve">ет истца. Сам факт перечисления денежных средств на счет истца подтверждается протоколом проведения операций, отчетом об операциях и не оспорен истцом. </w:t>
      </w:r>
    </w:p>
    <w:p w14:paraId="7542D83F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изложенным, суд приходит к выводу о наличии долговых обязательств Суздаленковой Н.В. перед ба</w:t>
      </w:r>
      <w:r>
        <w:rPr>
          <w:lang w:val="en-BE" w:eastAsia="en-BE" w:bidi="ar-SA"/>
        </w:rPr>
        <w:t>нком, правомерности их возникновения (на основании заключенного между истцом и ПАО «Сбербанк-России» в офертно-акцептной форме, с использованием электронной подписи, договора), в связи с чем, отсутствуют правовые основания для признания, оспариваемого истц</w:t>
      </w:r>
      <w:r>
        <w:rPr>
          <w:lang w:val="en-BE" w:eastAsia="en-BE" w:bidi="ar-SA"/>
        </w:rPr>
        <w:t>ом, кредитного договора недействительным.</w:t>
      </w:r>
    </w:p>
    <w:p w14:paraId="206EEE1D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Доводы и требования истца о признании кредитного договора недействительным по основаниям п.2 ст. 179 ГК РФ также не могут быть приняты судом в связи со следующим. </w:t>
      </w:r>
    </w:p>
    <w:p w14:paraId="5AB18083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2 ст. 179 Гражданского кодекса РФ сделка</w:t>
      </w:r>
      <w:r>
        <w:rPr>
          <w:lang w:val="en-BE" w:eastAsia="en-BE" w:bidi="ar-SA"/>
        </w:rPr>
        <w:t>, совершенная под влиянием обмана, может быть признана судом недействительной по иску потерпевшего.</w:t>
      </w:r>
    </w:p>
    <w:p w14:paraId="669C0159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Обманом считается также намеренное умолчание об обстоятельствах, о которых лицо должно было сообщить при той добросовестности, какая от него требовалась по </w:t>
      </w:r>
      <w:r>
        <w:rPr>
          <w:lang w:val="en-BE" w:eastAsia="en-BE" w:bidi="ar-SA"/>
        </w:rPr>
        <w:t>условиям оборота.</w:t>
      </w:r>
    </w:p>
    <w:p w14:paraId="09EC926B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Сделка, совершенная под влиянием обмана потерпевшего третьим лицом, может быть признана недействительной по иску потерпевшего при условии, что другая сторона либо лицо, к которому обращена односторонняя сделка, знали или должны были знать</w:t>
      </w:r>
      <w:r>
        <w:rPr>
          <w:lang w:val="en-BE" w:eastAsia="en-BE" w:bidi="ar-SA"/>
        </w:rPr>
        <w:t xml:space="preserve"> об обмане. Считается, в частности, что сторона знала об обмане, если виновное в обмане третье лицо являлось ее представителем или работником либо содействовало ей в совершении сделки.</w:t>
      </w:r>
    </w:p>
    <w:p w14:paraId="53B9D99A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представленные в материалах дела доказательства, соглашаясь с до</w:t>
      </w:r>
      <w:r>
        <w:rPr>
          <w:lang w:val="en-BE" w:eastAsia="en-BE" w:bidi="ar-SA"/>
        </w:rPr>
        <w:t>водами ответчика, суд приходит к выводу об отсутствии в материалах дела доказательств, изложенных в пункте 2 статьи 179 ГК РФ, а также учитывая то, что договор заключен истцом добровольно, доказательства перечисления заемных средств не опровергнуты, основа</w:t>
      </w:r>
      <w:r>
        <w:rPr>
          <w:lang w:val="en-BE" w:eastAsia="en-BE" w:bidi="ar-SA"/>
        </w:rPr>
        <w:t>ний для признания сделки недействительной, предусмотренной п. 2 ст. 179 ГК РФ у суда не имеется, в связи с чем требования истца подлежат оставлению без удовлетворения.</w:t>
      </w:r>
    </w:p>
    <w:p w14:paraId="1BDDD4C5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Отказывая истцу в удовлетворении первоначальных требований у суда также отсутствуют прав</w:t>
      </w:r>
      <w:r>
        <w:rPr>
          <w:lang w:val="en-BE" w:eastAsia="en-BE" w:bidi="ar-SA"/>
        </w:rPr>
        <w:t xml:space="preserve">овые основания для аннулирования кредитной задолженности и взыскания с Банка компенсации морального вреда. </w:t>
      </w:r>
    </w:p>
    <w:p w14:paraId="28384BA8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194-199 ГПК РФ, суд</w:t>
      </w:r>
    </w:p>
    <w:p w14:paraId="12BB2774" w14:textId="77777777" w:rsidR="00000000" w:rsidRDefault="00454104">
      <w:pPr>
        <w:ind w:firstLine="567"/>
        <w:jc w:val="both"/>
        <w:rPr>
          <w:lang w:val="en-BE" w:eastAsia="en-BE" w:bidi="ar-SA"/>
        </w:rPr>
      </w:pPr>
    </w:p>
    <w:p w14:paraId="30E54231" w14:textId="77777777" w:rsidR="00000000" w:rsidRDefault="00454104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6291C5A" w14:textId="77777777" w:rsidR="00000000" w:rsidRDefault="00454104">
      <w:pPr>
        <w:ind w:firstLine="567"/>
        <w:jc w:val="both"/>
        <w:rPr>
          <w:lang w:val="en-BE" w:eastAsia="en-BE" w:bidi="ar-SA"/>
        </w:rPr>
      </w:pPr>
    </w:p>
    <w:p w14:paraId="52319EA2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удовлетворении исковых требований Суздаленковой Натальи Владимировны </w:t>
      </w:r>
      <w:r>
        <w:rPr>
          <w:lang w:val="en-BE" w:eastAsia="en-BE" w:bidi="ar-SA"/>
        </w:rPr>
        <w:t xml:space="preserve">к ПАО Сбербанк о признании кредитного договора ничтожным, аннулировании задолженности, взыскании компенсации морального вреда – отказать. </w:t>
      </w:r>
    </w:p>
    <w:p w14:paraId="549F82F1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Гагаринский районный суд </w:t>
      </w:r>
      <w:r>
        <w:rPr>
          <w:rStyle w:val="cat-Addressgrp-1rplc-2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изготовления решения суда в окончательной форме.</w:t>
      </w:r>
    </w:p>
    <w:p w14:paraId="066F4C71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в окончательной форме изготовлено 03 октября 2023 года</w:t>
      </w:r>
    </w:p>
    <w:p w14:paraId="76D44C4F" w14:textId="77777777" w:rsidR="00000000" w:rsidRDefault="00454104">
      <w:pPr>
        <w:ind w:firstLine="567"/>
        <w:jc w:val="both"/>
        <w:rPr>
          <w:lang w:val="en-BE" w:eastAsia="en-BE" w:bidi="ar-SA"/>
        </w:rPr>
      </w:pPr>
    </w:p>
    <w:p w14:paraId="49807AEB" w14:textId="77777777" w:rsidR="00000000" w:rsidRDefault="00454104">
      <w:pPr>
        <w:ind w:firstLine="567"/>
        <w:jc w:val="both"/>
        <w:rPr>
          <w:lang w:val="en-BE" w:eastAsia="en-BE" w:bidi="ar-SA"/>
        </w:rPr>
      </w:pPr>
    </w:p>
    <w:p w14:paraId="60F86BE6" w14:textId="77777777" w:rsidR="00000000" w:rsidRDefault="00454104">
      <w:pPr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Судья                                                                                                            Д.Г.</w:t>
      </w:r>
      <w:r>
        <w:rPr>
          <w:b/>
          <w:bCs/>
          <w:lang w:val="en-BE" w:eastAsia="en-BE" w:bidi="ar-SA"/>
        </w:rPr>
        <w:t xml:space="preserve"> Шестаков</w:t>
      </w:r>
    </w:p>
    <w:p w14:paraId="3550514A" w14:textId="77777777" w:rsidR="00000000" w:rsidRDefault="00454104">
      <w:pPr>
        <w:ind w:firstLine="567"/>
        <w:jc w:val="both"/>
        <w:rPr>
          <w:lang w:val="en-BE" w:eastAsia="en-BE" w:bidi="ar-SA"/>
        </w:rPr>
      </w:pP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5AA70" w14:textId="77777777" w:rsidR="00000000" w:rsidRDefault="00454104">
      <w:r>
        <w:separator/>
      </w:r>
    </w:p>
  </w:endnote>
  <w:endnote w:type="continuationSeparator" w:id="0">
    <w:p w14:paraId="0FD7B9CF" w14:textId="77777777" w:rsidR="00000000" w:rsidRDefault="00454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0E2E7" w14:textId="77777777" w:rsidR="00000000" w:rsidRDefault="00454104">
    <w:pPr>
      <w:jc w:val="center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14:paraId="071D7C55" w14:textId="77777777" w:rsidR="00000000" w:rsidRDefault="00454104">
    <w:pPr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B4B96" w14:textId="77777777" w:rsidR="00000000" w:rsidRDefault="00454104">
      <w:r>
        <w:separator/>
      </w:r>
    </w:p>
  </w:footnote>
  <w:footnote w:type="continuationSeparator" w:id="0">
    <w:p w14:paraId="4DA99E96" w14:textId="77777777" w:rsidR="00000000" w:rsidRDefault="00454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4104"/>
    <w:rsid w:val="0045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36ACC08C"/>
  <w15:chartTrackingRefBased/>
  <w15:docId w15:val="{514B9C34-FEA7-4A4C-8CDD-649A1471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Sumgrp-9rplc-6">
    <w:name w:val="cat-Sum grp-9 rplc-6"/>
    <w:basedOn w:val="a0"/>
  </w:style>
  <w:style w:type="character" w:customStyle="1" w:styleId="cat-Sumgrp-10rplc-7">
    <w:name w:val="cat-Sum grp-10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Sumgrp-12rplc-9">
    <w:name w:val="cat-Sum grp-12 rplc-9"/>
    <w:basedOn w:val="a0"/>
  </w:style>
  <w:style w:type="character" w:customStyle="1" w:styleId="cat-Sumgrp-9rplc-10">
    <w:name w:val="cat-Sum grp-9 rplc-10"/>
    <w:basedOn w:val="a0"/>
  </w:style>
  <w:style w:type="character" w:customStyle="1" w:styleId="cat-Sumgrp-13rplc-11">
    <w:name w:val="cat-Sum grp-13 rplc-11"/>
    <w:basedOn w:val="a0"/>
  </w:style>
  <w:style w:type="character" w:customStyle="1" w:styleId="cat-FIOgrp-6rplc-12">
    <w:name w:val="cat-FIO grp-6 rplc-12"/>
    <w:basedOn w:val="a0"/>
  </w:style>
  <w:style w:type="character" w:customStyle="1" w:styleId="cat-UserDefinedgrp-16rplc-15">
    <w:name w:val="cat-UserDefined grp-16 rplc-15"/>
    <w:basedOn w:val="a0"/>
  </w:style>
  <w:style w:type="character" w:customStyle="1" w:styleId="cat-UserDefinedgrp-17rplc-16">
    <w:name w:val="cat-UserDefined grp-17 rplc-16"/>
    <w:basedOn w:val="a0"/>
  </w:style>
  <w:style w:type="character" w:customStyle="1" w:styleId="cat-UserDefinedgrp-18rplc-17">
    <w:name w:val="cat-UserDefined grp-18 rplc-17"/>
    <w:basedOn w:val="a0"/>
  </w:style>
  <w:style w:type="character" w:customStyle="1" w:styleId="cat-UserDefinedgrp-18rplc-18">
    <w:name w:val="cat-UserDefined grp-18 rplc-18"/>
    <w:basedOn w:val="a0"/>
  </w:style>
  <w:style w:type="character" w:customStyle="1" w:styleId="cat-PhoneNumbergrp-15rplc-19">
    <w:name w:val="cat-PhoneNumber grp-15 rplc-19"/>
    <w:basedOn w:val="a0"/>
  </w:style>
  <w:style w:type="character" w:customStyle="1" w:styleId="cat-Sumgrp-14rplc-21">
    <w:name w:val="cat-Sum grp-14 rplc-21"/>
    <w:basedOn w:val="a0"/>
  </w:style>
  <w:style w:type="character" w:customStyle="1" w:styleId="cat-Addressgrp-1rplc-24">
    <w:name w:val="cat-Address grp-1 rplc-2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2790</Words>
  <Characters>15909</Characters>
  <Application>Microsoft Office Word</Application>
  <DocSecurity>0</DocSecurity>
  <Lines>132</Lines>
  <Paragraphs>37</Paragraphs>
  <ScaleCrop>false</ScaleCrop>
  <Company/>
  <LinksUpToDate>false</LinksUpToDate>
  <CharactersWithSpaces>18662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