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26 октября 2023</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77RS0005-02-2023-010904-82</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Яковлевой В.С.</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Fonts w:ascii="Times New Roman" w:eastAsia="Times New Roman" w:hAnsi="Times New Roman" w:cs="Times New Roman"/>
          <w:sz w:val="26"/>
          <w:szCs w:val="26"/>
          <w:highlight w:val="none"/>
        </w:rPr>
        <w:t>Зубкове А.А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5667</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FIOgrp-4rplc-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Публично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акционерно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обществ</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к </w:t>
      </w:r>
      <w:r>
        <w:rPr>
          <w:rStyle w:val="cat-FIOgrp-5rplc-5"/>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 взыскании с ответчика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553332144</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30.03.2012</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365</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978</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21</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Fonts w:ascii="Times New Roman" w:eastAsia="Times New Roman" w:hAnsi="Times New Roman" w:cs="Times New Roman"/>
          <w:sz w:val="26"/>
          <w:szCs w:val="26"/>
          <w:highlight w:val="none"/>
        </w:rPr>
        <w:t>6</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859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78</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Требования мотивированы </w:t>
      </w:r>
      <w:r>
        <w:rPr>
          <w:rFonts w:ascii="Times New Roman" w:eastAsia="Times New Roman" w:hAnsi="Times New Roman" w:cs="Times New Roman"/>
          <w:sz w:val="26"/>
          <w:szCs w:val="26"/>
          <w:highlight w:val="none"/>
        </w:rPr>
        <w:t xml:space="preserve">тем, что </w:t>
      </w:r>
      <w:r>
        <w:rPr>
          <w:rFonts w:ascii="Times New Roman" w:eastAsia="Times New Roman" w:hAnsi="Times New Roman" w:cs="Times New Roman"/>
          <w:sz w:val="26"/>
          <w:szCs w:val="26"/>
          <w:highlight w:val="none"/>
        </w:rPr>
        <w:t>30 марта 2012</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Кредит был выдан под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 xml:space="preserve">% годовых на условиях, определенных тарифами Сбербанка.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29.08.2023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заемщик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образовалась просроченная задолженность</w:t>
      </w:r>
      <w:r>
        <w:rPr>
          <w:rFonts w:ascii="Times New Roman" w:eastAsia="Times New Roman" w:hAnsi="Times New Roman" w:cs="Times New Roman"/>
          <w:sz w:val="26"/>
          <w:szCs w:val="26"/>
          <w:highlight w:val="none"/>
        </w:rPr>
        <w:t xml:space="preserve">, а именно: </w:t>
      </w:r>
      <w:r>
        <w:rPr>
          <w:rFonts w:ascii="Times New Roman" w:eastAsia="Times New Roman" w:hAnsi="Times New Roman" w:cs="Times New Roman"/>
          <w:sz w:val="26"/>
          <w:szCs w:val="26"/>
          <w:highlight w:val="none"/>
        </w:rPr>
        <w:t>просроченный основной долг</w:t>
      </w:r>
      <w:r>
        <w:rPr>
          <w:rFonts w:ascii="Times New Roman" w:eastAsia="Times New Roman" w:hAnsi="Times New Roman" w:cs="Times New Roman"/>
          <w:sz w:val="26"/>
          <w:szCs w:val="26"/>
          <w:highlight w:val="none"/>
        </w:rPr>
        <w:t xml:space="preserve"> в размере </w:t>
      </w:r>
      <w:r>
        <w:rPr>
          <w:rFonts w:ascii="Times New Roman" w:eastAsia="Times New Roman" w:hAnsi="Times New Roman" w:cs="Times New Roman"/>
          <w:sz w:val="26"/>
          <w:szCs w:val="26"/>
          <w:highlight w:val="none"/>
        </w:rPr>
        <w:t>359</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979</w:t>
      </w:r>
      <w:r>
        <w:rPr>
          <w:rFonts w:ascii="Times New Roman" w:eastAsia="Times New Roman" w:hAnsi="Times New Roman" w:cs="Times New Roman"/>
          <w:sz w:val="26"/>
          <w:szCs w:val="26"/>
          <w:highlight w:val="none"/>
        </w:rPr>
        <w:t xml:space="preserve"> руб.</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03</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просроченные проценты в размере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499</w:t>
      </w:r>
      <w:r>
        <w:rPr>
          <w:rFonts w:ascii="Times New Roman" w:eastAsia="Times New Roman" w:hAnsi="Times New Roman" w:cs="Times New Roman"/>
          <w:sz w:val="26"/>
          <w:szCs w:val="26"/>
          <w:highlight w:val="none"/>
        </w:rPr>
        <w:t xml:space="preserve"> руб.</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комиссия Банк в размере 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500 руб.</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связи с чем,</w:t>
      </w:r>
      <w:r>
        <w:rPr>
          <w:rFonts w:ascii="Times New Roman" w:eastAsia="Times New Roman" w:hAnsi="Times New Roman" w:cs="Times New Roman"/>
          <w:sz w:val="26"/>
          <w:szCs w:val="26"/>
          <w:highlight w:val="none"/>
        </w:rPr>
        <w:t xml:space="preserve"> проси</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Представитель истца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6"/>
          <w:szCs w:val="26"/>
          <w:highlight w:val="none"/>
        </w:rPr>
        <w:t>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w:t>
      </w:r>
      <w:r>
        <w:rPr>
          <w:rStyle w:val="cat-FIOgrp-5rplc-1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дате времени и месте судебного заседания извещал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надлежащим образо</w:t>
      </w:r>
      <w:r>
        <w:rPr>
          <w:rFonts w:ascii="Times New Roman" w:eastAsia="Times New Roman" w:hAnsi="Times New Roman" w:cs="Times New Roman"/>
          <w:sz w:val="26"/>
          <w:szCs w:val="26"/>
          <w:highlight w:val="none"/>
        </w:rPr>
        <w:t>м, о причинах неявки не сообщил</w:t>
      </w:r>
      <w:r>
        <w:rPr>
          <w:rFonts w:ascii="Times New Roman" w:eastAsia="Times New Roman" w:hAnsi="Times New Roman" w:cs="Times New Roman"/>
          <w:sz w:val="26"/>
          <w:szCs w:val="26"/>
          <w:highlight w:val="none"/>
        </w:rPr>
        <w:t>, возражений по иску не представил.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167 ГПК РФ в отсутствии </w:t>
      </w:r>
      <w:r>
        <w:rPr>
          <w:rFonts w:ascii="Times New Roman" w:eastAsia="Times New Roman" w:hAnsi="Times New Roman" w:cs="Times New Roman"/>
          <w:sz w:val="26"/>
          <w:szCs w:val="26"/>
          <w:highlight w:val="none"/>
        </w:rPr>
        <w:t>сторон</w:t>
      </w:r>
      <w:r>
        <w:rPr>
          <w:rFonts w:ascii="Times New Roman" w:eastAsia="Times New Roman" w:hAnsi="Times New Roman" w:cs="Times New Roman"/>
          <w:sz w:val="26"/>
          <w:szCs w:val="26"/>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исследовав материалы дела, 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 xml:space="preserve">атье </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w:t>
      </w:r>
      <w:r>
        <w:rPr>
          <w:rFonts w:ascii="Times New Roman" w:eastAsia="Times New Roman" w:hAnsi="Times New Roman" w:cs="Times New Roman"/>
          <w:sz w:val="26"/>
          <w:szCs w:val="26"/>
          <w:highlight w:val="none"/>
        </w:rPr>
        <w:t xml:space="preserve">ункту </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На основании</w:t>
      </w:r>
      <w:r>
        <w:rPr>
          <w:rFonts w:ascii="Times New Roman" w:eastAsia="Times New Roman" w:hAnsi="Times New Roman" w:cs="Times New Roman"/>
          <w:sz w:val="26"/>
          <w:szCs w:val="26"/>
          <w:highlight w:val="none"/>
        </w:rPr>
        <w:t xml:space="preserve"> ч.1 ст.</w:t>
      </w:r>
      <w:r>
        <w:rPr>
          <w:rFonts w:ascii="Times New Roman" w:eastAsia="Times New Roman" w:hAnsi="Times New Roman" w:cs="Times New Roman"/>
          <w:sz w:val="26"/>
          <w:szCs w:val="26"/>
          <w:highlight w:val="none"/>
        </w:rPr>
        <w:t xml:space="preserve">811 ГК РФ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395 настоящего Кодекса, со дня, когда она должна была быть возвращена, до дня ее возврата займодавцу независимо от уплаты процентов, предусмотренных 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w:t>
      </w:r>
      <w:r>
        <w:rPr>
          <w:rFonts w:ascii="Times New Roman" w:eastAsia="Times New Roman" w:hAnsi="Times New Roman" w:cs="Times New Roman"/>
          <w:sz w:val="26"/>
          <w:szCs w:val="26"/>
          <w:highlight w:val="none"/>
        </w:rPr>
        <w:t xml:space="preserve"> ч</w:t>
      </w:r>
      <w:r>
        <w:rPr>
          <w:rFonts w:ascii="Times New Roman" w:eastAsia="Times New Roman" w:hAnsi="Times New Roman" w:cs="Times New Roman"/>
          <w:sz w:val="26"/>
          <w:szCs w:val="26"/>
          <w:highlight w:val="none"/>
        </w:rPr>
        <w:t xml:space="preserve">асти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811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 xml:space="preserve">атье </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прежде всего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издержки кредитора по </w:t>
      </w:r>
      <w:r>
        <w:rPr>
          <w:rFonts w:ascii="Times New Roman" w:eastAsia="Times New Roman" w:hAnsi="Times New Roman" w:cs="Times New Roman"/>
          <w:sz w:val="26"/>
          <w:szCs w:val="26"/>
          <w:highlight w:val="none"/>
        </w:rPr>
        <w:t xml:space="preserve">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30.03.2012</w:t>
      </w:r>
      <w:r>
        <w:rPr>
          <w:rFonts w:ascii="Times New Roman" w:eastAsia="Times New Roman" w:hAnsi="Times New Roman" w:cs="Times New Roman"/>
          <w:sz w:val="26"/>
          <w:szCs w:val="26"/>
          <w:highlight w:val="none"/>
        </w:rPr>
        <w:t xml:space="preserve"> года между истцом ПАО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(ранее ОАО «Сбербанк России») и ответчиком </w:t>
      </w:r>
      <w:r>
        <w:rPr>
          <w:rStyle w:val="cat-FIOgrp-5rplc-12"/>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 заключен д</w:t>
      </w:r>
      <w:r>
        <w:rPr>
          <w:rFonts w:ascii="Times New Roman" w:eastAsia="Times New Roman" w:hAnsi="Times New Roman" w:cs="Times New Roman"/>
          <w:sz w:val="26"/>
          <w:szCs w:val="26"/>
          <w:highlight w:val="none"/>
        </w:rPr>
        <w:t xml:space="preserve">оговор (эмиссионный контракт)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553332144</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29.08.2023</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задолженность </w:t>
      </w:r>
      <w:r>
        <w:rPr>
          <w:rStyle w:val="cat-FIOgrp-6rplc-1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по кредитному договору составила </w:t>
      </w:r>
      <w:r>
        <w:rPr>
          <w:rFonts w:ascii="Times New Roman" w:eastAsia="Times New Roman" w:hAnsi="Times New Roman" w:cs="Times New Roman"/>
          <w:sz w:val="26"/>
          <w:szCs w:val="26"/>
          <w:highlight w:val="none"/>
        </w:rPr>
        <w:t>365</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978</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21</w:t>
      </w:r>
      <w:r>
        <w:rPr>
          <w:rFonts w:ascii="Times New Roman" w:eastAsia="Times New Roman" w:hAnsi="Times New Roman" w:cs="Times New Roman"/>
          <w:sz w:val="26"/>
          <w:szCs w:val="26"/>
          <w:highlight w:val="none"/>
        </w:rPr>
        <w:t xml:space="preserve"> коп., из которых </w:t>
      </w:r>
      <w:r>
        <w:rPr>
          <w:rFonts w:ascii="Times New Roman" w:eastAsia="Times New Roman" w:hAnsi="Times New Roman" w:cs="Times New Roman"/>
          <w:sz w:val="26"/>
          <w:szCs w:val="26"/>
          <w:highlight w:val="none"/>
        </w:rPr>
        <w:t>359</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979</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03</w:t>
      </w:r>
      <w:r>
        <w:rPr>
          <w:rFonts w:ascii="Times New Roman" w:eastAsia="Times New Roman" w:hAnsi="Times New Roman" w:cs="Times New Roman"/>
          <w:sz w:val="26"/>
          <w:szCs w:val="26"/>
          <w:highlight w:val="none"/>
        </w:rPr>
        <w:t xml:space="preserve"> коп. </w:t>
      </w:r>
      <w:r>
        <w:rPr>
          <w:rFonts w:ascii="Times New Roman" w:eastAsia="Times New Roman" w:hAnsi="Times New Roman" w:cs="Times New Roman"/>
          <w:sz w:val="26"/>
          <w:szCs w:val="26"/>
          <w:highlight w:val="none"/>
        </w:rPr>
        <w:t xml:space="preserve">– просроченный основной долг;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499</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 xml:space="preserve"> коп. </w:t>
      </w:r>
      <w:r>
        <w:rPr>
          <w:rFonts w:ascii="Times New Roman" w:eastAsia="Times New Roman" w:hAnsi="Times New Roman" w:cs="Times New Roman"/>
          <w:sz w:val="26"/>
          <w:szCs w:val="26"/>
          <w:highlight w:val="none"/>
        </w:rPr>
        <w:t>– просроченные проценты</w:t>
      </w:r>
      <w:r>
        <w:rPr>
          <w:rFonts w:ascii="Times New Roman" w:eastAsia="Times New Roman" w:hAnsi="Times New Roman" w:cs="Times New Roman"/>
          <w:sz w:val="26"/>
          <w:szCs w:val="26"/>
          <w:highlight w:val="none"/>
        </w:rPr>
        <w:t>, 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500 руб. – комиссия Банка.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расчет</w:t>
      </w:r>
      <w:r>
        <w:rPr>
          <w:rFonts w:ascii="Times New Roman" w:eastAsia="Times New Roman" w:hAnsi="Times New Roman" w:cs="Times New Roman"/>
          <w:sz w:val="26"/>
          <w:szCs w:val="26"/>
          <w:highlight w:val="none"/>
        </w:rPr>
        <w:t xml:space="preserve"> истца</w:t>
      </w:r>
      <w:r>
        <w:rPr>
          <w:rFonts w:ascii="Times New Roman" w:eastAsia="Times New Roman" w:hAnsi="Times New Roman" w:cs="Times New Roman"/>
          <w:sz w:val="26"/>
          <w:szCs w:val="26"/>
          <w:highlight w:val="none"/>
        </w:rPr>
        <w:t xml:space="preserve"> математически верным, основанным на условиях договора, </w:t>
      </w:r>
      <w:r>
        <w:rPr>
          <w:rFonts w:ascii="Times New Roman" w:eastAsia="Times New Roman" w:hAnsi="Times New Roman" w:cs="Times New Roman"/>
          <w:sz w:val="26"/>
          <w:szCs w:val="26"/>
          <w:highlight w:val="none"/>
        </w:rPr>
        <w:t xml:space="preserve">и как не оспоренный </w:t>
      </w:r>
      <w:r>
        <w:rPr>
          <w:rFonts w:ascii="Times New Roman" w:eastAsia="Times New Roman" w:hAnsi="Times New Roman" w:cs="Times New Roman"/>
          <w:sz w:val="26"/>
          <w:szCs w:val="26"/>
          <w:highlight w:val="none"/>
        </w:rPr>
        <w:t>ответчиком,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Истцом </w:t>
      </w:r>
      <w:r>
        <w:rPr>
          <w:rFonts w:ascii="Times New Roman" w:eastAsia="Times New Roman" w:hAnsi="Times New Roman" w:cs="Times New Roman"/>
          <w:sz w:val="26"/>
          <w:szCs w:val="26"/>
          <w:highlight w:val="none"/>
        </w:rPr>
        <w:t>21.02.2023</w:t>
      </w:r>
      <w:r>
        <w:rPr>
          <w:rFonts w:ascii="Times New Roman" w:eastAsia="Times New Roman" w:hAnsi="Times New Roman" w:cs="Times New Roman"/>
          <w:sz w:val="26"/>
          <w:szCs w:val="26"/>
          <w:highlight w:val="none"/>
        </w:rPr>
        <w:t xml:space="preserve"> года в адрес </w:t>
      </w:r>
      <w:r>
        <w:rPr>
          <w:rStyle w:val="cat-FIOgrp-6rplc-1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направлен</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письм</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возражений, относительно предъявленных исковых требований, а также доказательств отсутствия задолженности по кредитному договору, либо несогласие с размером задолженности, в нарушении ст.56 ГПК РФ не представил.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w:t>
      </w:r>
      <w:r>
        <w:rPr>
          <w:rFonts w:ascii="Times New Roman" w:eastAsia="Times New Roman" w:hAnsi="Times New Roman" w:cs="Times New Roman"/>
          <w:sz w:val="26"/>
          <w:szCs w:val="26"/>
          <w:highlight w:val="none"/>
        </w:rPr>
        <w:t xml:space="preserve">ответчиком не опровергнут.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Сведений о том, что задолженность п</w:t>
      </w:r>
      <w:r>
        <w:rPr>
          <w:rFonts w:ascii="Times New Roman" w:eastAsia="Times New Roman" w:hAnsi="Times New Roman" w:cs="Times New Roman"/>
          <w:sz w:val="26"/>
          <w:szCs w:val="26"/>
          <w:highlight w:val="none"/>
        </w:rPr>
        <w:t xml:space="preserve">огашена, суду не представлено.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123 Конституции РФ, ст.</w:t>
      </w:r>
      <w:r>
        <w:rPr>
          <w:rFonts w:ascii="Times New Roman" w:eastAsia="Times New Roman" w:hAnsi="Times New Roman" w:cs="Times New Roman"/>
          <w:sz w:val="26"/>
          <w:szCs w:val="26"/>
          <w:highlight w:val="none"/>
        </w:rPr>
        <w:t>ст.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своих требов</w:t>
      </w:r>
      <w:r>
        <w:rPr>
          <w:rFonts w:ascii="Times New Roman" w:eastAsia="Times New Roman" w:hAnsi="Times New Roman" w:cs="Times New Roman"/>
          <w:sz w:val="26"/>
          <w:szCs w:val="26"/>
          <w:highlight w:val="none"/>
        </w:rPr>
        <w:t>аний и возражений. Согласно ст.</w:t>
      </w:r>
      <w:r>
        <w:rPr>
          <w:rFonts w:ascii="Times New Roman" w:eastAsia="Times New Roman" w:hAnsi="Times New Roman" w:cs="Times New Roman"/>
          <w:sz w:val="26"/>
          <w:szCs w:val="26"/>
          <w:highlight w:val="none"/>
        </w:rPr>
        <w:t>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w:t>
      </w:r>
      <w:r>
        <w:rPr>
          <w:rFonts w:ascii="Times New Roman" w:eastAsia="Times New Roman" w:hAnsi="Times New Roman" w:cs="Times New Roman"/>
          <w:sz w:val="26"/>
          <w:szCs w:val="26"/>
          <w:highlight w:val="none"/>
        </w:rPr>
        <w:t xml:space="preserve">меющихся в деле доказательств.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указанных обстоятельствах, суд приходит к выводу о законности и обоснованности заявленных истцом требований и взыскании с </w:t>
      </w:r>
      <w:r>
        <w:rPr>
          <w:rStyle w:val="cat-FIOgrp-6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задолженности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553332144</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30.03.2012</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365</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978</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21</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Кроме того суд отмечает, что мировым судьей судебного участка №</w:t>
      </w:r>
      <w:r>
        <w:rPr>
          <w:rFonts w:ascii="Times New Roman" w:eastAsia="Times New Roman" w:hAnsi="Times New Roman" w:cs="Times New Roman"/>
          <w:sz w:val="26"/>
          <w:szCs w:val="26"/>
          <w:highlight w:val="none"/>
        </w:rPr>
        <w:t>71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Головинского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района г.Москвы, и.о. мирового судьи судебного участка №72 Головинского района г.Москвы 18.07.2023</w:t>
      </w:r>
      <w:r>
        <w:rPr>
          <w:rFonts w:ascii="Times New Roman" w:eastAsia="Times New Roman" w:hAnsi="Times New Roman" w:cs="Times New Roman"/>
          <w:sz w:val="26"/>
          <w:szCs w:val="26"/>
          <w:highlight w:val="none"/>
        </w:rPr>
        <w:t xml:space="preserve"> года был вынесен судебный приказ №2-</w:t>
      </w:r>
      <w:r>
        <w:rPr>
          <w:rFonts w:ascii="Times New Roman" w:eastAsia="Times New Roman" w:hAnsi="Times New Roman" w:cs="Times New Roman"/>
          <w:sz w:val="26"/>
          <w:szCs w:val="26"/>
          <w:highlight w:val="none"/>
        </w:rPr>
        <w:t>1217</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23-СП</w:t>
      </w:r>
      <w:r>
        <w:rPr>
          <w:rFonts w:ascii="Times New Roman" w:eastAsia="Times New Roman" w:hAnsi="Times New Roman" w:cs="Times New Roman"/>
          <w:sz w:val="26"/>
          <w:szCs w:val="26"/>
          <w:highlight w:val="none"/>
        </w:rPr>
        <w:t xml:space="preserve"> о взыскании с </w:t>
      </w:r>
      <w:r>
        <w:rPr>
          <w:rStyle w:val="cat-FIOgrp-6rplc-2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задолженности.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Определением </w:t>
      </w:r>
      <w:r>
        <w:rPr>
          <w:rFonts w:ascii="Times New Roman" w:eastAsia="Times New Roman" w:hAnsi="Times New Roman" w:cs="Times New Roman"/>
          <w:sz w:val="26"/>
          <w:szCs w:val="26"/>
          <w:highlight w:val="none"/>
        </w:rPr>
        <w:t>миров</w:t>
      </w:r>
      <w:r>
        <w:rPr>
          <w:rFonts w:ascii="Times New Roman" w:eastAsia="Times New Roman" w:hAnsi="Times New Roman" w:cs="Times New Roman"/>
          <w:sz w:val="26"/>
          <w:szCs w:val="26"/>
          <w:highlight w:val="none"/>
        </w:rPr>
        <w:t>ого</w:t>
      </w:r>
      <w:r>
        <w:rPr>
          <w:rFonts w:ascii="Times New Roman" w:eastAsia="Times New Roman" w:hAnsi="Times New Roman" w:cs="Times New Roman"/>
          <w:sz w:val="26"/>
          <w:szCs w:val="26"/>
          <w:highlight w:val="none"/>
        </w:rPr>
        <w:t xml:space="preserve"> судь</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судебного участка №71 Головинского района г.Москвы, и.о. мирового судьи судебного участка №72 Головинского района г.Москвы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27.07.2023</w:t>
      </w:r>
      <w:r>
        <w:rPr>
          <w:rFonts w:ascii="Times New Roman" w:eastAsia="Times New Roman" w:hAnsi="Times New Roman" w:cs="Times New Roman"/>
          <w:sz w:val="26"/>
          <w:szCs w:val="26"/>
          <w:highlight w:val="none"/>
        </w:rPr>
        <w:t xml:space="preserve"> года судебный приказ №2-</w:t>
      </w:r>
      <w:r>
        <w:rPr>
          <w:rFonts w:ascii="Times New Roman" w:eastAsia="Times New Roman" w:hAnsi="Times New Roman" w:cs="Times New Roman"/>
          <w:sz w:val="26"/>
          <w:szCs w:val="26"/>
          <w:highlight w:val="none"/>
        </w:rPr>
        <w:t>1217</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23-СП</w:t>
      </w:r>
      <w:r>
        <w:rPr>
          <w:rFonts w:ascii="Times New Roman" w:eastAsia="Times New Roman" w:hAnsi="Times New Roman" w:cs="Times New Roman"/>
          <w:sz w:val="26"/>
          <w:szCs w:val="26"/>
          <w:highlight w:val="none"/>
        </w:rPr>
        <w:t xml:space="preserve"> отменен, в связи с поступившими возражениями </w:t>
      </w:r>
      <w:r>
        <w:rPr>
          <w:rStyle w:val="cat-FIOgrp-6rplc-26"/>
          <w:rFonts w:ascii="Times New Roman" w:eastAsia="Times New Roman" w:hAnsi="Times New Roman" w:cs="Times New Roman"/>
          <w:sz w:val="26"/>
          <w:szCs w:val="26"/>
          <w:highlight w:val="none"/>
        </w:rPr>
        <w:t>фио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статьи 98 ГПК РФ, пп.13 п.1 ст.333.20 НК РФ с ответчика также следует взыскать в пользу истца расходы по уплате государственной пошлины в общей сумме </w:t>
      </w:r>
      <w:r>
        <w:rPr>
          <w:rFonts w:ascii="Times New Roman" w:eastAsia="Times New Roman" w:hAnsi="Times New Roman" w:cs="Times New Roman"/>
          <w:sz w:val="26"/>
          <w:szCs w:val="26"/>
          <w:highlight w:val="none"/>
        </w:rPr>
        <w:t>6</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859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78</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в том числе </w:t>
      </w:r>
      <w:r>
        <w:rPr>
          <w:rFonts w:ascii="Times New Roman" w:eastAsia="Times New Roman" w:hAnsi="Times New Roman" w:cs="Times New Roman"/>
          <w:sz w:val="26"/>
          <w:szCs w:val="26"/>
          <w:highlight w:val="none"/>
        </w:rPr>
        <w:t>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610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29</w:t>
      </w:r>
      <w:r>
        <w:rPr>
          <w:rFonts w:ascii="Times New Roman" w:eastAsia="Times New Roman" w:hAnsi="Times New Roman" w:cs="Times New Roman"/>
          <w:sz w:val="26"/>
          <w:szCs w:val="26"/>
          <w:highlight w:val="none"/>
        </w:rPr>
        <w:t xml:space="preserve"> коп. – расходы по уплате государственной пошлины за выдачу судебного приказа, </w:t>
      </w:r>
      <w:r>
        <w:rPr>
          <w:rFonts w:ascii="Times New Roman" w:eastAsia="Times New Roman" w:hAnsi="Times New Roman" w:cs="Times New Roman"/>
          <w:sz w:val="26"/>
          <w:szCs w:val="26"/>
          <w:highlight w:val="none"/>
        </w:rPr>
        <w:t>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249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49</w:t>
      </w:r>
      <w:r>
        <w:rPr>
          <w:rFonts w:ascii="Times New Roman" w:eastAsia="Times New Roman" w:hAnsi="Times New Roman" w:cs="Times New Roman"/>
          <w:sz w:val="26"/>
          <w:szCs w:val="26"/>
          <w:highlight w:val="none"/>
        </w:rPr>
        <w:t xml:space="preserve"> коп. – расходы по уплате государственной пошлины за подачу искового заявления, которые подтверждаются платежными поручениями №</w:t>
      </w:r>
      <w:r>
        <w:rPr>
          <w:rFonts w:ascii="Times New Roman" w:eastAsia="Times New Roman" w:hAnsi="Times New Roman" w:cs="Times New Roman"/>
          <w:sz w:val="26"/>
          <w:szCs w:val="26"/>
          <w:highlight w:val="none"/>
        </w:rPr>
        <w:t>355647</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30.03.2023</w:t>
      </w:r>
      <w:r>
        <w:rPr>
          <w:rFonts w:ascii="Times New Roman" w:eastAsia="Times New Roman" w:hAnsi="Times New Roman" w:cs="Times New Roman"/>
          <w:sz w:val="26"/>
          <w:szCs w:val="26"/>
          <w:highlight w:val="none"/>
        </w:rPr>
        <w:t xml:space="preserve"> года и №</w:t>
      </w:r>
      <w:r>
        <w:rPr>
          <w:rFonts w:ascii="Times New Roman" w:eastAsia="Times New Roman" w:hAnsi="Times New Roman" w:cs="Times New Roman"/>
          <w:sz w:val="26"/>
          <w:szCs w:val="26"/>
          <w:highlight w:val="none"/>
        </w:rPr>
        <w:t>897660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06.09</w:t>
      </w:r>
      <w:r>
        <w:rPr>
          <w:rFonts w:ascii="Times New Roman" w:eastAsia="Times New Roman" w:hAnsi="Times New Roman" w:cs="Times New Roman"/>
          <w:sz w:val="26"/>
          <w:szCs w:val="26"/>
          <w:highlight w:val="none"/>
        </w:rPr>
        <w:t>.2023 года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изложенного, руководствуясь </w:t>
      </w:r>
      <w:r>
        <w:rPr>
          <w:rFonts w:ascii="Times New Roman" w:eastAsia="Times New Roman" w:hAnsi="Times New Roman" w:cs="Times New Roman"/>
          <w:sz w:val="26"/>
          <w:szCs w:val="26"/>
          <w:highlight w:val="none"/>
        </w:rPr>
        <w:t>ст.ст. 194</w:t>
      </w:r>
      <w:r>
        <w:rPr>
          <w:rFonts w:ascii="Times New Roman" w:eastAsia="Times New Roman" w:hAnsi="Times New Roman" w:cs="Times New Roman"/>
          <w:sz w:val="26"/>
          <w:szCs w:val="26"/>
          <w:highlight w:val="none"/>
        </w:rPr>
        <w:t>-199 ГПК РФ, суд</w:t>
      </w:r>
    </w:p>
    <w:p>
      <w:pPr>
        <w:widowControl w:val="0"/>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FIOgrp-4rplc-3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FIOgrp-7rplc-3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6rplc-32"/>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(ИНН 7707083893)</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553332144 от 30.03.2012 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365</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978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21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размере 6</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859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78</w:t>
      </w:r>
      <w:r>
        <w:rPr>
          <w:rFonts w:ascii="Times New Roman" w:eastAsia="Times New Roman" w:hAnsi="Times New Roman" w:cs="Times New Roman"/>
          <w:sz w:val="26"/>
          <w:szCs w:val="26"/>
          <w:highlight w:val="none"/>
        </w:rPr>
        <w:t xml:space="preserve"> коп.</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6"/>
          <w:szCs w:val="26"/>
          <w:highlight w:val="none"/>
        </w:rPr>
        <w:t xml:space="preserve"> районный суд г.</w:t>
      </w:r>
      <w:r>
        <w:rPr>
          <w:rFonts w:ascii="Times New Roman" w:eastAsia="Times New Roman" w:hAnsi="Times New Roman" w:cs="Times New Roman"/>
          <w:sz w:val="26"/>
          <w:szCs w:val="26"/>
          <w:highlight w:val="none"/>
        </w:rPr>
        <w:t xml:space="preserve">Москвы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jc w:val="both"/>
        <w:rPr>
          <w:sz w:val="26"/>
          <w:szCs w:val="26"/>
        </w:rPr>
      </w:pPr>
    </w:p>
    <w:p>
      <w:pPr>
        <w:spacing w:before="0" w:after="0"/>
        <w:ind w:firstLine="709"/>
        <w:jc w:val="both"/>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В.С. Яковлева</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Мотивированное решение суда изготовлено </w:t>
      </w:r>
      <w:r>
        <w:rPr>
          <w:rFonts w:ascii="Times New Roman" w:eastAsia="Times New Roman" w:hAnsi="Times New Roman" w:cs="Times New Roman"/>
          <w:sz w:val="26"/>
          <w:szCs w:val="26"/>
          <w:highlight w:val="none"/>
        </w:rPr>
        <w:t>31</w:t>
      </w:r>
      <w:r>
        <w:rPr>
          <w:rFonts w:ascii="Times New Roman" w:eastAsia="Times New Roman" w:hAnsi="Times New Roman" w:cs="Times New Roman"/>
          <w:sz w:val="26"/>
          <w:szCs w:val="26"/>
          <w:highlight w:val="none"/>
        </w:rPr>
        <w:t xml:space="preserve"> октября</w:t>
      </w:r>
      <w:r>
        <w:rPr>
          <w:rFonts w:ascii="Times New Roman" w:eastAsia="Times New Roman" w:hAnsi="Times New Roman" w:cs="Times New Roman"/>
          <w:sz w:val="26"/>
          <w:szCs w:val="26"/>
          <w:highlight w:val="none"/>
        </w:rPr>
        <w:t xml:space="preserve"> 2023</w:t>
      </w:r>
      <w:r>
        <w:rPr>
          <w:rFonts w:ascii="Times New Roman" w:eastAsia="Times New Roman" w:hAnsi="Times New Roman" w:cs="Times New Roman"/>
          <w:sz w:val="26"/>
          <w:szCs w:val="26"/>
          <w:highlight w:val="none"/>
        </w:rPr>
        <w:t xml:space="preserve"> года</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4rplc-4">
    <w:name w:val="cat-FIO grp-4 rplc-4"/>
    <w:basedOn w:val="DefaultParagraphFont"/>
  </w:style>
  <w:style w:type="character" w:customStyle="1" w:styleId="cat-FIOgrp-5rplc-5">
    <w:name w:val="cat-FIO grp-5 rplc-5"/>
    <w:basedOn w:val="DefaultParagraphFont"/>
  </w:style>
  <w:style w:type="character" w:customStyle="1" w:styleId="cat-FIOgrp-5rplc-11">
    <w:name w:val="cat-FIO grp-5 rplc-11"/>
    <w:basedOn w:val="DefaultParagraphFont"/>
  </w:style>
  <w:style w:type="character" w:customStyle="1" w:styleId="cat-FIOgrp-5rplc-12">
    <w:name w:val="cat-FIO grp-5 rplc-12"/>
    <w:basedOn w:val="DefaultParagraphFont"/>
  </w:style>
  <w:style w:type="character" w:customStyle="1" w:styleId="cat-FIOgrp-6rplc-13">
    <w:name w:val="cat-FIO grp-6 rplc-13"/>
    <w:basedOn w:val="DefaultParagraphFont"/>
  </w:style>
  <w:style w:type="character" w:customStyle="1" w:styleId="cat-FIOgrp-6rplc-18">
    <w:name w:val="cat-FIO grp-6 rplc-18"/>
    <w:basedOn w:val="DefaultParagraphFont"/>
  </w:style>
  <w:style w:type="character" w:customStyle="1" w:styleId="cat-FIOgrp-6rplc-19">
    <w:name w:val="cat-FIO grp-6 rplc-19"/>
    <w:basedOn w:val="DefaultParagraphFont"/>
  </w:style>
  <w:style w:type="character" w:customStyle="1" w:styleId="cat-FIOgrp-6rplc-23">
    <w:name w:val="cat-FIO grp-6 rplc-23"/>
    <w:basedOn w:val="DefaultParagraphFont"/>
  </w:style>
  <w:style w:type="character" w:customStyle="1" w:styleId="cat-FIOgrp-6rplc-26">
    <w:name w:val="cat-FIO grp-6 rplc-26"/>
    <w:basedOn w:val="DefaultParagraphFont"/>
  </w:style>
  <w:style w:type="character" w:customStyle="1" w:styleId="cat-FIOgrp-4rplc-30">
    <w:name w:val="cat-FIO grp-4 rplc-30"/>
    <w:basedOn w:val="DefaultParagraphFont"/>
  </w:style>
  <w:style w:type="character" w:customStyle="1" w:styleId="cat-FIOgrp-7rplc-31">
    <w:name w:val="cat-FIO grp-7 rplc-31"/>
    <w:basedOn w:val="DefaultParagraphFont"/>
  </w:style>
  <w:style w:type="character" w:customStyle="1" w:styleId="cat-PassportDatagrp-16rplc-32">
    <w:name w:val="cat-PassportData grp-16 rplc-3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