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A189CC" w14:textId="77777777" w:rsidR="00000000" w:rsidRDefault="007660BE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   77RS0022-02-2023-007388-29</w:t>
      </w:r>
    </w:p>
    <w:p w14:paraId="1E301A3F" w14:textId="77777777" w:rsidR="00000000" w:rsidRDefault="007660BE">
      <w:pPr>
        <w:ind w:firstLine="709"/>
        <w:jc w:val="center"/>
        <w:rPr>
          <w:lang w:val="en-BE" w:eastAsia="en-BE" w:bidi="ar-SA"/>
        </w:rPr>
      </w:pPr>
    </w:p>
    <w:p w14:paraId="366BB323" w14:textId="77777777" w:rsidR="00000000" w:rsidRDefault="007660BE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5CC40DCB" w14:textId="77777777" w:rsidR="00000000" w:rsidRDefault="007660BE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8521AE8" w14:textId="77777777" w:rsidR="00000000" w:rsidRDefault="007660BE">
      <w:pPr>
        <w:ind w:firstLine="709"/>
        <w:jc w:val="center"/>
        <w:rPr>
          <w:lang w:val="en-BE" w:eastAsia="en-BE" w:bidi="ar-SA"/>
        </w:rPr>
      </w:pPr>
    </w:p>
    <w:p w14:paraId="30DF2148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14 ноября 2023 г.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7B0C8951" w14:textId="77777777" w:rsidR="00000000" w:rsidRDefault="007660BE">
      <w:pPr>
        <w:ind w:firstLine="709"/>
        <w:jc w:val="both"/>
        <w:rPr>
          <w:lang w:val="en-BE" w:eastAsia="en-BE" w:bidi="ar-SA"/>
        </w:rPr>
      </w:pPr>
    </w:p>
    <w:p w14:paraId="2AFCD12D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Преображенский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Горьковой И.Ю.,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 рассмотрев в открытом</w:t>
      </w:r>
      <w:r>
        <w:rPr>
          <w:lang w:val="en-BE" w:eastAsia="en-BE" w:bidi="ar-SA"/>
        </w:rPr>
        <w:t xml:space="preserve"> судебном заседании гражданское дело № 2-5624/23 по иску Габулаевой Ирины Николаевны к ПАО Сбербанк, </w:t>
      </w:r>
      <w:r>
        <w:rPr>
          <w:rStyle w:val="cat-Addressgrp-1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Сбербанка», ООО «СК «Сбербанк Страхование Жизни»  о расторжении договора негосударственного пенсионного обеспечения, признании договора страхования н</w:t>
      </w:r>
      <w:r>
        <w:rPr>
          <w:lang w:val="en-BE" w:eastAsia="en-BE" w:bidi="ar-SA"/>
        </w:rPr>
        <w:t xml:space="preserve">едействительным, взыскании денежных средств, компенсации морального вреда, штрафа    </w:t>
      </w:r>
    </w:p>
    <w:p w14:paraId="3FF182CA" w14:textId="77777777" w:rsidR="00000000" w:rsidRDefault="007660BE">
      <w:pPr>
        <w:ind w:firstLine="709"/>
        <w:jc w:val="both"/>
        <w:rPr>
          <w:lang w:val="en-BE" w:eastAsia="en-BE" w:bidi="ar-SA"/>
        </w:rPr>
      </w:pPr>
    </w:p>
    <w:p w14:paraId="2F335840" w14:textId="77777777" w:rsidR="00000000" w:rsidRDefault="007660BE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Установил: </w:t>
      </w:r>
    </w:p>
    <w:p w14:paraId="5FCD530F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обратилась в суд с иском к ответчикам о расторжении договора негосударственного пенсионного обеспечения № </w:t>
      </w:r>
      <w:r>
        <w:rPr>
          <w:rStyle w:val="cat-UserDefined252620grp-19rplc-6"/>
          <w:lang w:val="en-BE" w:eastAsia="en-BE" w:bidi="ar-SA"/>
        </w:rPr>
        <w:t>...</w:t>
      </w:r>
      <w:r>
        <w:rPr>
          <w:lang w:val="en-BE" w:eastAsia="en-BE" w:bidi="ar-SA"/>
        </w:rPr>
        <w:t xml:space="preserve"> от 15.03.2021, заключенный между истцом и</w:t>
      </w:r>
      <w:r>
        <w:rPr>
          <w:lang w:val="en-BE" w:eastAsia="en-BE" w:bidi="ar-SA"/>
        </w:rPr>
        <w:t xml:space="preserve"> </w:t>
      </w:r>
      <w:r>
        <w:rPr>
          <w:rStyle w:val="cat-Addressgrp-1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Сбербанка», взыскании денежных средств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признании договора страхования страховой полис ВМВР1А № 0000313575 от 15.05.2021, заключенный между истцом и ООО СК «Сбербанк Страхование Жизни», применении последствий недействительности сделки взыскав </w:t>
      </w:r>
      <w:r>
        <w:rPr>
          <w:lang w:val="en-BE" w:eastAsia="en-BE" w:bidi="ar-SA"/>
        </w:rPr>
        <w:t xml:space="preserve">с ООО СК «Сбербанк Страхование Жизни»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полученные по договору страхования, взыскании компенсации морального вреда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штрафа, мотивируя свои требования тем, что  15.03.2021 она обратилась в ПАО Сбербанк с целью заключения договора вклада, однако, </w:t>
      </w:r>
      <w:r>
        <w:rPr>
          <w:lang w:val="en-BE" w:eastAsia="en-BE" w:bidi="ar-SA"/>
        </w:rPr>
        <w:t xml:space="preserve">вместо договора вклада истцом были заключены договор негосударственного пенсионного обеспечения, договор страхования. Всего истец передала работнику сбербанка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связи с заключением договоров. Истец была введена в заблуждение работниками банка при зак</w:t>
      </w:r>
      <w:r>
        <w:rPr>
          <w:lang w:val="en-BE" w:eastAsia="en-BE" w:bidi="ar-SA"/>
        </w:rPr>
        <w:t xml:space="preserve">лючении договора. Направленные в досудебном порядке претензии оставлены без удовлетворения. </w:t>
      </w:r>
    </w:p>
    <w:p w14:paraId="62F84F0C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Истец, представитель истца в судебном заседании исковые требования поддерживают.    </w:t>
      </w:r>
    </w:p>
    <w:p w14:paraId="6AFD6F13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ПАО Сбербанк в судебное заседание не явился, извещен о</w:t>
      </w:r>
      <w:r>
        <w:rPr>
          <w:lang w:val="en-BE" w:eastAsia="en-BE" w:bidi="ar-SA"/>
        </w:rPr>
        <w:t xml:space="preserve"> слушании дела. В дело поступили письменные возражения на иск, в которых представитель заявляет о пропуске истцом срока исковой давности. </w:t>
      </w:r>
    </w:p>
    <w:p w14:paraId="179B2570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 в судебное заседание не явился, извещен о слушании дела.</w:t>
      </w:r>
    </w:p>
    <w:p w14:paraId="35F80524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</w:t>
      </w:r>
      <w:r>
        <w:rPr>
          <w:lang w:val="en-BE" w:eastAsia="en-BE" w:bidi="ar-SA"/>
        </w:rPr>
        <w:t>чика ООО СК «Сбербанк Страхование Жизни» в судебное заседание не явился, извещен о слушании дела.</w:t>
      </w:r>
    </w:p>
    <w:p w14:paraId="06EA0C8D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Дело рассмотрено в отсутствие ответчиков в порядке ст. 167 ГПК РФ. </w:t>
      </w:r>
    </w:p>
    <w:p w14:paraId="5BF021DC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Выслушав истца, представителя, исследовав материалы дела, суд приходит к следующему. </w:t>
      </w:r>
    </w:p>
    <w:p w14:paraId="264FEE4F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 xml:space="preserve">ответствии с </w:t>
      </w:r>
      <w:hyperlink r:id="rId7" w:history="1">
        <w:r>
          <w:rPr>
            <w:color w:val="0000EE"/>
            <w:lang w:val="en-BE" w:eastAsia="en-BE" w:bidi="ar-SA"/>
          </w:rPr>
          <w:t>п. 1 ст. 943</w:t>
        </w:r>
      </w:hyperlink>
      <w:r>
        <w:rPr>
          <w:lang w:val="en-BE" w:eastAsia="en-BE" w:bidi="ar-SA"/>
        </w:rPr>
        <w:t xml:space="preserve"> ГК РФ условия, на которых заключается договор страхования, могут быть определены в стандартных правилах страхования соответствующего вида, при</w:t>
      </w:r>
      <w:r>
        <w:rPr>
          <w:lang w:val="en-BE" w:eastAsia="en-BE" w:bidi="ar-SA"/>
        </w:rPr>
        <w:t xml:space="preserve">нятых, одобренных или утвержденных страховщиком либо объединением страховщиков (правилах страхования). В </w:t>
      </w:r>
      <w:hyperlink r:id="rId8" w:history="1">
        <w:r>
          <w:rPr>
            <w:color w:val="0000EE"/>
            <w:lang w:val="en-BE" w:eastAsia="en-BE" w:bidi="ar-SA"/>
          </w:rPr>
          <w:t>пункте втором настоящей статьи</w:t>
        </w:r>
      </w:hyperlink>
      <w:r>
        <w:rPr>
          <w:lang w:val="en-BE" w:eastAsia="en-BE" w:bidi="ar-SA"/>
        </w:rPr>
        <w:t xml:space="preserve"> указано, что условия, содержащие</w:t>
      </w:r>
      <w:r>
        <w:rPr>
          <w:lang w:val="en-BE" w:eastAsia="en-BE" w:bidi="ar-SA"/>
        </w:rPr>
        <w:t xml:space="preserve">ся в правилах страхования и не включенные в текст договора страхования (страхового полиса), обязательны для страхователя (выгодоприобретателя), если в договоре (страховом полисе) прямо указывается на применение таких правил и сами правила изложены в одном </w:t>
      </w:r>
      <w:r>
        <w:rPr>
          <w:lang w:val="en-BE" w:eastAsia="en-BE" w:bidi="ar-SA"/>
        </w:rPr>
        <w:t>документе с договором (страховым полисом) или на его оборотной стороне либо приложены к нему. В последнем случае вручение страхователю при заключении договора правил страхования должно быть удостоверено записью в договоре.</w:t>
      </w:r>
    </w:p>
    <w:p w14:paraId="63760A10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На основании </w:t>
      </w:r>
      <w:hyperlink r:id="rId9" w:history="1">
        <w:r>
          <w:rPr>
            <w:color w:val="0000EE"/>
            <w:lang w:val="en-BE" w:eastAsia="en-BE" w:bidi="ar-SA"/>
          </w:rPr>
          <w:t>п. 1 ст. 160</w:t>
        </w:r>
      </w:hyperlink>
      <w:r>
        <w:rPr>
          <w:lang w:val="en-BE" w:eastAsia="en-BE" w:bidi="ar-SA"/>
        </w:rPr>
        <w:t xml:space="preserve"> ГК РФ сделка в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</w:t>
      </w:r>
      <w:r>
        <w:rPr>
          <w:lang w:val="en-BE" w:eastAsia="en-BE" w:bidi="ar-SA"/>
        </w:rPr>
        <w:t>образом уполномоченными ими лицами.</w:t>
      </w:r>
    </w:p>
    <w:p w14:paraId="426CFEF3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hyperlink r:id="rId10" w:history="1">
        <w:r>
          <w:rPr>
            <w:color w:val="0000EE"/>
            <w:lang w:val="en-BE" w:eastAsia="en-BE" w:bidi="ar-SA"/>
          </w:rPr>
          <w:t>п. 1 ст. 166</w:t>
        </w:r>
      </w:hyperlink>
      <w:r>
        <w:rPr>
          <w:lang w:val="en-BE" w:eastAsia="en-BE" w:bidi="ar-SA"/>
        </w:rPr>
        <w:t xml:space="preserve"> ГК РФ сделка недействительна по основаниям, установленным законом, в силу признания ее таковой судом (оспо</w:t>
      </w:r>
      <w:r>
        <w:rPr>
          <w:lang w:val="en-BE" w:eastAsia="en-BE" w:bidi="ar-SA"/>
        </w:rPr>
        <w:t>римая сделка) либо независимо от такого признания (ничтожная сделка).</w:t>
      </w:r>
    </w:p>
    <w:p w14:paraId="6A7D82C5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п. 1 ст. 167</w:t>
        </w:r>
      </w:hyperlink>
      <w:r>
        <w:rPr>
          <w:lang w:val="en-BE" w:eastAsia="en-BE" w:bidi="ar-SA"/>
        </w:rPr>
        <w:t xml:space="preserve"> ГК РФ недействительная сделка не влечет юридических последствий, за исключен</w:t>
      </w:r>
      <w:r>
        <w:rPr>
          <w:lang w:val="en-BE" w:eastAsia="en-BE" w:bidi="ar-SA"/>
        </w:rPr>
        <w:t>ием тех, которые связаны с ее недействительностью, и недействительна с момента ее совершения.</w:t>
      </w:r>
    </w:p>
    <w:p w14:paraId="6C0EBF3E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2" w:history="1">
        <w:r>
          <w:rPr>
            <w:color w:val="0000EE"/>
            <w:lang w:val="en-BE" w:eastAsia="en-BE" w:bidi="ar-SA"/>
          </w:rPr>
          <w:t>ст. 168</w:t>
        </w:r>
      </w:hyperlink>
      <w:r>
        <w:rPr>
          <w:lang w:val="en-BE" w:eastAsia="en-BE" w:bidi="ar-SA"/>
        </w:rPr>
        <w:t xml:space="preserve"> ГК РФ за исключением случаев, предусмотренных </w:t>
      </w:r>
      <w:hyperlink r:id="rId13" w:history="1">
        <w:r>
          <w:rPr>
            <w:color w:val="0000EE"/>
            <w:lang w:val="en-BE" w:eastAsia="en-BE" w:bidi="ar-SA"/>
          </w:rPr>
          <w:t>пунктом 2 настоящей статьи</w:t>
        </w:r>
      </w:hyperlink>
      <w:r>
        <w:rPr>
          <w:lang w:val="en-BE" w:eastAsia="en-BE" w:bidi="ar-SA"/>
        </w:rPr>
        <w:t xml:space="preserve"> или иным законом, сделка, нарушающая требования закона или иного правового акта, является оспоримой, если из закона не следует, что должны применятьс</w:t>
      </w:r>
      <w:r>
        <w:rPr>
          <w:lang w:val="en-BE" w:eastAsia="en-BE" w:bidi="ar-SA"/>
        </w:rPr>
        <w:t>я другие последствия нарушения, не связанные с недействительностью сделки.</w:t>
      </w:r>
    </w:p>
    <w:p w14:paraId="0CCB9B26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Сделка,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лиц, ничтожна, если из зак</w:t>
      </w:r>
      <w:r>
        <w:rPr>
          <w:lang w:val="en-BE" w:eastAsia="en-BE" w:bidi="ar-SA"/>
        </w:rPr>
        <w:t>она не следует, что такая сделка оспорима или должны применяться другие последствия нарушения, не связанные с недействительностью сделки.</w:t>
      </w:r>
    </w:p>
    <w:p w14:paraId="7A0BAA63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4" w:history="1">
        <w:r>
          <w:rPr>
            <w:color w:val="0000EE"/>
            <w:lang w:val="en-BE" w:eastAsia="en-BE" w:bidi="ar-SA"/>
          </w:rPr>
          <w:t>п. 1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>п. 2 ст. 179</w:t>
        </w:r>
      </w:hyperlink>
      <w:r>
        <w:rPr>
          <w:lang w:val="en-BE" w:eastAsia="en-BE" w:bidi="ar-SA"/>
        </w:rPr>
        <w:t xml:space="preserve"> ГК РФ сделка, совершенная под влиянием насилия или угрозы, может быть признана судом недействительной по иску потерпевшего.</w:t>
      </w:r>
    </w:p>
    <w:p w14:paraId="2C9490E7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Сделка, совершенная под влиянием обмана, мож</w:t>
      </w:r>
      <w:r>
        <w:rPr>
          <w:lang w:val="en-BE" w:eastAsia="en-BE" w:bidi="ar-SA"/>
        </w:rPr>
        <w:t>ет быть признана судом недействительной по иску потерпевшего.</w:t>
      </w:r>
    </w:p>
    <w:p w14:paraId="5A87A7FC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Обманом считается также намеренное умолчание об обстоятельствах, о которых лицо должно было сообщить при той добросовестности, какая от него требовалась по условиям оборота.</w:t>
      </w:r>
    </w:p>
    <w:p w14:paraId="214465FC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Сделка, совершенная </w:t>
      </w:r>
      <w:r>
        <w:rPr>
          <w:lang w:val="en-BE" w:eastAsia="en-BE" w:bidi="ar-SA"/>
        </w:rPr>
        <w:t>под влиянием обмана потерпевшего третьим лицом, может быть признана недействительной по иску потерпевшего при условии, что другая сторона либо лицо, к которому обращена односторонняя сделка, знали или должны были знать об обмане. Считается, в частности, чт</w:t>
      </w:r>
      <w:r>
        <w:rPr>
          <w:lang w:val="en-BE" w:eastAsia="en-BE" w:bidi="ar-SA"/>
        </w:rPr>
        <w:t>о сторона знала об обмане, если виновное в обмане третье лицо являлось ее представителем или работником либо содействовало ей в совершении сделки.</w:t>
      </w:r>
    </w:p>
    <w:p w14:paraId="58093C8D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судом и следует из материалов дела, 15.03.2021 между Габулаевой И.Н. и ООО СК «Сбербанк страх</w:t>
      </w:r>
      <w:r>
        <w:rPr>
          <w:lang w:val="en-BE" w:eastAsia="en-BE" w:bidi="ar-SA"/>
        </w:rPr>
        <w:t xml:space="preserve">ование жизни» был заключен договор страхования жизни «Семейный актив Премиум» № </w:t>
      </w:r>
      <w:r>
        <w:rPr>
          <w:rStyle w:val="cat-UserDefined252621grp-20rplc-14"/>
          <w:lang w:val="en-BE" w:eastAsia="en-BE" w:bidi="ar-SA"/>
        </w:rPr>
        <w:t>...</w:t>
      </w:r>
      <w:r>
        <w:rPr>
          <w:lang w:val="en-BE" w:eastAsia="en-BE" w:bidi="ar-SA"/>
        </w:rPr>
        <w:t xml:space="preserve">. </w:t>
      </w:r>
    </w:p>
    <w:p w14:paraId="7564DC6A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Страхователем по договору является </w:t>
      </w:r>
      <w:r>
        <w:rPr>
          <w:rStyle w:val="cat-FIOgrp-7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, страховщиком является ООО СК «Страхование жизни»  </w:t>
      </w:r>
    </w:p>
    <w:p w14:paraId="3968BDA1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договору были застрахованы страховые риски «дожитие» и «смерть», размер стра</w:t>
      </w:r>
      <w:r>
        <w:rPr>
          <w:lang w:val="en-BE" w:eastAsia="en-BE" w:bidi="ar-SA"/>
        </w:rPr>
        <w:t xml:space="preserve">ховой премии, оплаченной истцом составил </w:t>
      </w:r>
      <w:r>
        <w:rPr>
          <w:rStyle w:val="cat-Sumgrp-11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страховая сумма по рискам по </w:t>
      </w:r>
      <w:r>
        <w:rPr>
          <w:rStyle w:val="cat-Sumgrp-14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023F8B5B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3.2 договора, страховая премия уплачивается ежегодно по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14:paraId="5AD1C892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Срок страхования 10 лет (п.3.5 договора) </w:t>
      </w:r>
    </w:p>
    <w:p w14:paraId="3D0870D1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Выгодоприобретателем по страховым рискам является </w:t>
      </w:r>
      <w:r>
        <w:rPr>
          <w:rStyle w:val="cat-FIOgrp-8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супруг. </w:t>
      </w:r>
    </w:p>
    <w:p w14:paraId="07DCE25D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7.3 Правил страхования при досрочном прекращении действия договора страхования по инициативе Страхователя возврату подлежит выкупная сумма в пределах сформированного резерва. Возврат Страхователю уплаченной страховой премии н</w:t>
      </w:r>
      <w:r>
        <w:rPr>
          <w:lang w:val="en-BE" w:eastAsia="en-BE" w:bidi="ar-SA"/>
        </w:rPr>
        <w:t>е производится.</w:t>
      </w:r>
    </w:p>
    <w:p w14:paraId="3FE4B47F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Правилами страхования размер выкупной сумы рассчитывается как гарантированная выкупная сумма, определенная в соответствии с Приложением № 1 к договору страхования «Таблица размера выкупных сумм» для периода действия договор</w:t>
      </w:r>
      <w:r>
        <w:rPr>
          <w:lang w:val="en-BE" w:eastAsia="en-BE" w:bidi="ar-SA"/>
        </w:rPr>
        <w:t xml:space="preserve">а страхования, соответствующего дате досрочного прекращения договора страхования, увеличенная на размер дополнительного инвестиционного дохода, начисленного Страховщиком на дату досрочного прекращения договора страхования. В случае наличия </w:t>
      </w:r>
      <w:r>
        <w:rPr>
          <w:lang w:val="en-BE" w:eastAsia="en-BE" w:bidi="ar-SA"/>
        </w:rPr>
        <w:lastRenderedPageBreak/>
        <w:t>задолженности Ст</w:t>
      </w:r>
      <w:r>
        <w:rPr>
          <w:lang w:val="en-BE" w:eastAsia="en-BE" w:bidi="ar-SA"/>
        </w:rPr>
        <w:t xml:space="preserve">рахователя по уплате страховых взносов на дату досрочного прекращения Договора страхования Страховщик уменьшает размер выкупной суммы на размер задолженности Страхователя.    </w:t>
      </w:r>
    </w:p>
    <w:p w14:paraId="43ED3425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собственноручно подписан договор страхования и приложения к нему, в котор</w:t>
      </w:r>
      <w:r>
        <w:rPr>
          <w:lang w:val="en-BE" w:eastAsia="en-BE" w:bidi="ar-SA"/>
        </w:rPr>
        <w:t>ых указано, что Страхователь подтверждает, что ознакомлен и согласен с условиями Договора страхования, информация о которых приведена в Приложении, в т.ч. с порядком расчета выкупной суммы и размерами гарантированной выкупной суммы, с размерами страховых с</w:t>
      </w:r>
      <w:r>
        <w:rPr>
          <w:lang w:val="en-BE" w:eastAsia="en-BE" w:bidi="ar-SA"/>
        </w:rPr>
        <w:t>умм и страховой премии (ее составных частей), специальные термины и расчеты, Страхователю разъяснены и понятны (л.д.33).</w:t>
      </w:r>
    </w:p>
    <w:p w14:paraId="7DF63845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обращалась к ответчику с заявлением о расторжении договора страхования и возврате денежных средств.</w:t>
      </w:r>
    </w:p>
    <w:p w14:paraId="69D99E2F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ответа от 31.01.2023 ООО «</w:t>
      </w:r>
      <w:r>
        <w:rPr>
          <w:lang w:val="en-BE" w:eastAsia="en-BE" w:bidi="ar-SA"/>
        </w:rPr>
        <w:t>Сбербанк Страхование жизни» следует, что договор страхования вступил в силу 30.03.2021 и был расторгнут 29.04.2022 в связи с требованием истца. Выкупная сумма равна 0 (ноль). Поскольку договором не предусмотрена 100 % выплата уплаченных денежных средств пр</w:t>
      </w:r>
      <w:r>
        <w:rPr>
          <w:lang w:val="en-BE" w:eastAsia="en-BE" w:bidi="ar-SA"/>
        </w:rPr>
        <w:t xml:space="preserve">и досрочном прекращении договора, оснований для удовлетворения требований не имеется (л.д.74) .  </w:t>
      </w:r>
    </w:p>
    <w:p w14:paraId="5C96594C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полагает, что правовых оснований для признания оспариваемого договора страхования недействительным, по ст. </w:t>
      </w:r>
      <w:hyperlink r:id="rId16" w:history="1">
        <w:r>
          <w:rPr>
            <w:color w:val="0000EE"/>
            <w:lang w:val="en-BE" w:eastAsia="en-BE" w:bidi="ar-SA"/>
          </w:rPr>
          <w:t>179</w:t>
        </w:r>
      </w:hyperlink>
      <w:r>
        <w:rPr>
          <w:lang w:val="en-BE" w:eastAsia="en-BE" w:bidi="ar-SA"/>
        </w:rPr>
        <w:t xml:space="preserve"> ГК РФ отсутствуют, так как доказательств того, что истец заключила договор страхования под влиянием обмана или заблуждалась относительно предмета сделки, не представлено. При его заключении истец действовала по сво</w:t>
      </w:r>
      <w:r>
        <w:rPr>
          <w:lang w:val="en-BE" w:eastAsia="en-BE" w:bidi="ar-SA"/>
        </w:rPr>
        <w:t xml:space="preserve">ему усмотрению, своей волей и в своем интересе. Заключая оспариваемый договор, истец согласился с его условиями, о чем свидетельствует собственноручная подпись истца в договоре страхования по программе страхования, в котором он подтвердил, что с условиями </w:t>
      </w:r>
      <w:r>
        <w:rPr>
          <w:lang w:val="en-BE" w:eastAsia="en-BE" w:bidi="ar-SA"/>
        </w:rPr>
        <w:t>страхования ознакомлен, всю необходимую информацию получил, что подтверждает намерение заключить договор на указанных условиях.</w:t>
      </w:r>
    </w:p>
    <w:p w14:paraId="0EECABDA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требования о признании недействительной сделки по договору страхования предъявлены за пределами установленного закон</w:t>
      </w:r>
      <w:r>
        <w:rPr>
          <w:lang w:val="en-BE" w:eastAsia="en-BE" w:bidi="ar-SA"/>
        </w:rPr>
        <w:t xml:space="preserve">ом годичного срока исковой давности, установленного </w:t>
      </w:r>
      <w:hyperlink r:id="rId17" w:history="1">
        <w:r>
          <w:rPr>
            <w:color w:val="0000EE"/>
            <w:lang w:val="en-BE" w:eastAsia="en-BE" w:bidi="ar-SA"/>
          </w:rPr>
          <w:t>п. 2 ст. 181</w:t>
        </w:r>
      </w:hyperlink>
      <w:r>
        <w:rPr>
          <w:lang w:val="en-BE" w:eastAsia="en-BE" w:bidi="ar-SA"/>
        </w:rPr>
        <w:t xml:space="preserve"> ГК РФ, о чем заявлено представителем ответчика ПАО «Сбербанк» при рассмотрении дела. Исковое заявление </w:t>
      </w:r>
      <w:r>
        <w:rPr>
          <w:lang w:val="en-BE" w:eastAsia="en-BE" w:bidi="ar-SA"/>
        </w:rPr>
        <w:t>было подано в суд 16.05.2023 г., то есть за пределами срока давности. Доказательств уважительности причин пропуска срока истцом не представлено.</w:t>
      </w:r>
    </w:p>
    <w:p w14:paraId="28898B9C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При рассмотрении дела судом не установлено оснований для признания договора страхования недействительным, в с</w:t>
      </w:r>
      <w:r>
        <w:rPr>
          <w:lang w:val="en-BE" w:eastAsia="en-BE" w:bidi="ar-SA"/>
        </w:rPr>
        <w:t>вязи с чем, суд отказывает в удовлетворении требований истца о признании недействительным договора страхования В</w:t>
      </w:r>
      <w:r>
        <w:rPr>
          <w:rStyle w:val="cat-UserDefined252622grp-21rplc-20"/>
          <w:lang w:val="en-BE" w:eastAsia="en-BE" w:bidi="ar-SA"/>
        </w:rPr>
        <w:t>...</w:t>
      </w:r>
      <w:r>
        <w:rPr>
          <w:lang w:val="en-BE" w:eastAsia="en-BE" w:bidi="ar-SA"/>
        </w:rPr>
        <w:t xml:space="preserve"> от 15.05.2021, заключенного с ООО СК «Сбербанк Страхование Жизни», применении последствий недействительности сделки путем взыскания с ООО СК</w:t>
      </w:r>
      <w:r>
        <w:rPr>
          <w:lang w:val="en-BE" w:eastAsia="en-BE" w:bidi="ar-SA"/>
        </w:rPr>
        <w:t xml:space="preserve"> «Сбербанк Страхование Жизни» денежных средств в размере </w:t>
      </w:r>
      <w:r>
        <w:rPr>
          <w:rStyle w:val="cat-Sumgrp-11rplc-21"/>
          <w:lang w:val="en-BE" w:eastAsia="en-BE" w:bidi="ar-SA"/>
        </w:rPr>
        <w:t>сумма</w:t>
      </w:r>
      <w:r>
        <w:rPr>
          <w:lang w:val="en-BE" w:eastAsia="en-BE" w:bidi="ar-SA"/>
        </w:rPr>
        <w:t>, а также произвольных требований о взыскании компенсации морального вреда, штрафа.</w:t>
      </w:r>
    </w:p>
    <w:p w14:paraId="3FBDA91A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15.03.2021 в офисе ПАО Сбербанк, на основании Агентского договора,  между </w:t>
      </w:r>
      <w:r>
        <w:rPr>
          <w:rStyle w:val="cat-Addressgrp-1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Сбербанк» и истцом заключен до</w:t>
      </w:r>
      <w:r>
        <w:rPr>
          <w:lang w:val="en-BE" w:eastAsia="en-BE" w:bidi="ar-SA"/>
        </w:rPr>
        <w:t xml:space="preserve">говор негосударственного пенсионного обеспечения Индивидуальный пенсионный план «Универсальный» № </w:t>
      </w:r>
      <w:r>
        <w:rPr>
          <w:rStyle w:val="cat-UserDefined252620grp-19rplc-23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6A0D2495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условиям договора Вкладчик обязуется перечислять пенсионные взносы в Фонд в установленные сроки и в определенных размерах, а Фонд принимает на себя об</w:t>
      </w:r>
      <w:r>
        <w:rPr>
          <w:lang w:val="en-BE" w:eastAsia="en-BE" w:bidi="ar-SA"/>
        </w:rPr>
        <w:t xml:space="preserve">язанности по негосударственному пенсионному обеспечению Вкладчика на условиях и порядке, установленных Пенсионным договором и Пенсионными правилами Фонда. </w:t>
      </w:r>
    </w:p>
    <w:p w14:paraId="154155AD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2.1.1 Вкладчик уплачивает первый пенсионный взнос в размере </w:t>
      </w:r>
      <w:r>
        <w:rPr>
          <w:rStyle w:val="cat-Sumgrp-10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Последующие пенсионные</w:t>
      </w:r>
      <w:r>
        <w:rPr>
          <w:lang w:val="en-BE" w:eastAsia="en-BE" w:bidi="ar-SA"/>
        </w:rPr>
        <w:t xml:space="preserve"> взносы уплачиваются Вкладчиком в размере не мене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каждый. Если накопительный период составляет менее 24 месяцев, то размер первоначального взноса составляет не менее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</w:t>
      </w:r>
    </w:p>
    <w:p w14:paraId="068096C2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Первоначальный взнос по договору в размере </w:t>
      </w:r>
      <w:r>
        <w:rPr>
          <w:rStyle w:val="cat-Sumgrp-10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был перечислен со счета </w:t>
      </w:r>
      <w:r>
        <w:rPr>
          <w:lang w:val="en-BE" w:eastAsia="en-BE" w:bidi="ar-SA"/>
        </w:rPr>
        <w:t>истца. (л.д.91)</w:t>
      </w:r>
    </w:p>
    <w:p w14:paraId="0E2439D7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23.03.2023 представитель истца подал заявление о расторжении договора негосударственного пенсионного обеспечения (л.д.92).</w:t>
      </w:r>
    </w:p>
    <w:p w14:paraId="1ECBAAC6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письменных возражений </w:t>
      </w:r>
      <w:r>
        <w:rPr>
          <w:rStyle w:val="cat-Addressgrp-1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Сбербанк», в связи с подачей клиентом заявления, был произведен расчет вык</w:t>
      </w:r>
      <w:r>
        <w:rPr>
          <w:lang w:val="en-BE" w:eastAsia="en-BE" w:bidi="ar-SA"/>
        </w:rPr>
        <w:t>упной суммы по договору. В соответствии со ст. 8 ФЗ от 07.05.1998 № 75-ФЗ «О негосударственных пенсионных фондах» порядок расчёта выкупной суммы устанавливается Пенсионными правилами Фонда. Пенсионные правила, а  также условия договора НПО устанавливает ра</w:t>
      </w:r>
      <w:r>
        <w:rPr>
          <w:lang w:val="en-BE" w:eastAsia="en-BE" w:bidi="ar-SA"/>
        </w:rPr>
        <w:t>змер выкупной суммы в случае расторжения Договора НПО в период накопления, рассчитывается как сума уплаченных пенсионных взносов с учетом коэффициента К1=99 и инвестиционного дохода с учетом коэффициента К2=50. 10.04.2023 Фондом были произведены расчет и о</w:t>
      </w:r>
      <w:r>
        <w:rPr>
          <w:lang w:val="en-BE" w:eastAsia="en-BE" w:bidi="ar-SA"/>
        </w:rPr>
        <w:t xml:space="preserve">существлена выплата выкупной суммы на реквизиты Габулаевой И.Н. в размере </w:t>
      </w:r>
      <w:r>
        <w:rPr>
          <w:rStyle w:val="cat-Sumgrp-17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 чем представлено платежное поручение от 10.03.2023 № 24691 (л.д.103) </w:t>
      </w:r>
      <w:r>
        <w:rPr>
          <w:rStyle w:val="cat-Addressgrp-2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 исполнил обязательства перед клиентом в полном объеме, выплачена выкупная сумма без удер</w:t>
      </w:r>
      <w:r>
        <w:rPr>
          <w:lang w:val="en-BE" w:eastAsia="en-BE" w:bidi="ar-SA"/>
        </w:rPr>
        <w:t xml:space="preserve">жания НДФЛ с выплаты, на основании предоставленной справки НДФЛ.   (л.д.80)   </w:t>
      </w:r>
    </w:p>
    <w:p w14:paraId="06633437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Регулирование спорных правоотношений осуществляется нормами, установленными Федеральным </w:t>
      </w:r>
      <w:hyperlink r:id="rId18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 xml:space="preserve"> от 0</w:t>
      </w:r>
      <w:r>
        <w:rPr>
          <w:lang w:val="en-BE" w:eastAsia="en-BE" w:bidi="ar-SA"/>
        </w:rPr>
        <w:t>7.05.1998 N 75-ФЗ "О негосударственных пенсионных фондах".</w:t>
      </w:r>
    </w:p>
    <w:p w14:paraId="26D6E3FF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9" w:history="1">
        <w:r>
          <w:rPr>
            <w:color w:val="0000EE"/>
            <w:lang w:val="en-BE" w:eastAsia="en-BE" w:bidi="ar-SA"/>
          </w:rPr>
          <w:t>ст. 3</w:t>
        </w:r>
      </w:hyperlink>
      <w:r>
        <w:rPr>
          <w:lang w:val="en-BE" w:eastAsia="en-BE" w:bidi="ar-SA"/>
        </w:rPr>
        <w:t xml:space="preserve"> ФЗ 07.05.1998 N 75-ФЗ "О негосударственных пенсионных фондах" договор негосударственного пенси</w:t>
      </w:r>
      <w:r>
        <w:rPr>
          <w:lang w:val="en-BE" w:eastAsia="en-BE" w:bidi="ar-SA"/>
        </w:rPr>
        <w:t>онного обеспечения (далее - пенсионный договор) - соглашение между фондом и вкладчиком фонда (далее - вкладчик), в соответствии с которым вкладчик обязуется уплачивать пенсионные взносы в фонд, а фонд обязуется выплачивать участнику (участникам) фонда (дал</w:t>
      </w:r>
      <w:r>
        <w:rPr>
          <w:lang w:val="en-BE" w:eastAsia="en-BE" w:bidi="ar-SA"/>
        </w:rPr>
        <w:t>ее - участник) негосударственную пенсию. Негосударственная пенсия - денежные средства, регулярно выплачиваемые участнику в соответствии с условиями пенсионного договора. Пенсионная схема - совокупность условии, определяющих порядок уплаты пенсионных взносо</w:t>
      </w:r>
      <w:r>
        <w:rPr>
          <w:lang w:val="en-BE" w:eastAsia="en-BE" w:bidi="ar-SA"/>
        </w:rPr>
        <w:t>в и выплат негосударственных пенсий. Выкупная сумма - денежные средства, выплачиваемые фондом вкладчику, участнику или их правопреемникам либо переводимые в другой фонд при прекращении пенсионного договора.</w:t>
      </w:r>
    </w:p>
    <w:p w14:paraId="1CF56217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20" w:history="1">
        <w:r>
          <w:rPr>
            <w:color w:val="0000EE"/>
            <w:lang w:val="en-BE" w:eastAsia="en-BE" w:bidi="ar-SA"/>
          </w:rPr>
          <w:t>п. 2 ст. 450.1</w:t>
        </w:r>
      </w:hyperlink>
      <w:r>
        <w:rPr>
          <w:lang w:val="en-BE" w:eastAsia="en-BE" w:bidi="ar-SA"/>
        </w:rPr>
        <w:t xml:space="preserve"> ГК РФ, в случае одностороннего отказа от договора (исполнения договора) полностью или частично, если такой отказ допускается, договор считается расторгнутым или измененным.</w:t>
      </w:r>
    </w:p>
    <w:p w14:paraId="0CC0C587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учитывается, что </w:t>
      </w:r>
      <w:r>
        <w:rPr>
          <w:lang w:val="en-BE" w:eastAsia="en-BE" w:bidi="ar-SA"/>
        </w:rPr>
        <w:t>договор негосударственного пенсионного обеспечения № 9</w:t>
      </w:r>
      <w:r>
        <w:rPr>
          <w:rStyle w:val="cat-UserDefined252623grp-22rplc-32"/>
          <w:lang w:val="en-BE" w:eastAsia="en-BE" w:bidi="ar-SA"/>
        </w:rPr>
        <w:t>...</w:t>
      </w:r>
      <w:r>
        <w:rPr>
          <w:lang w:val="en-BE" w:eastAsia="en-BE" w:bidi="ar-SA"/>
        </w:rPr>
        <w:t xml:space="preserve"> от 15.03.2021 заключенный истцом с </w:t>
      </w:r>
      <w:r>
        <w:rPr>
          <w:rStyle w:val="cat-Addressgrp-1rplc-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 уже расторгнут в досудебном порядке по заявлению представителя истца, истцу была произведена возврат денежной суммы в размере </w:t>
      </w:r>
      <w:r>
        <w:rPr>
          <w:rStyle w:val="cat-Sumgrp-10rplc-34"/>
          <w:lang w:val="en-BE" w:eastAsia="en-BE" w:bidi="ar-SA"/>
        </w:rPr>
        <w:t>сумма</w:t>
      </w:r>
      <w:r>
        <w:rPr>
          <w:lang w:val="en-BE" w:eastAsia="en-BE" w:bidi="ar-SA"/>
        </w:rPr>
        <w:t>, а также выкуп</w:t>
      </w:r>
      <w:r>
        <w:rPr>
          <w:lang w:val="en-BE" w:eastAsia="en-BE" w:bidi="ar-SA"/>
        </w:rPr>
        <w:t xml:space="preserve">ная сумма в общей сумме </w:t>
      </w:r>
      <w:r>
        <w:rPr>
          <w:rStyle w:val="cat-Sumgrp-18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A669638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</w:t>
      </w:r>
      <w:r>
        <w:rPr>
          <w:rStyle w:val="cat-Addressgrp-1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 исполнил обязательства перед истцом в полном объеме, оснований для удовлетворения требований истца о расторжении договора негосударственного пенсионного обеспечения № 999-9300-001499672 от 15.03.202</w:t>
      </w:r>
      <w:r>
        <w:rPr>
          <w:lang w:val="en-BE" w:eastAsia="en-BE" w:bidi="ar-SA"/>
        </w:rPr>
        <w:t xml:space="preserve">1, заключенный между истцом и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Сбербанка», взыскании денежных средств </w:t>
      </w:r>
      <w:r>
        <w:rPr>
          <w:rStyle w:val="cat-Sumgrp-10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произвольных о взыскании компенсации морального  вреда и штрафа  не имеется. </w:t>
      </w:r>
    </w:p>
    <w:p w14:paraId="2C9DDBCE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193-198 ГПК РФ, суд </w:t>
      </w:r>
    </w:p>
    <w:p w14:paraId="3F06322C" w14:textId="77777777" w:rsidR="00000000" w:rsidRDefault="007660BE">
      <w:pPr>
        <w:ind w:firstLine="709"/>
        <w:jc w:val="both"/>
        <w:rPr>
          <w:lang w:val="en-BE" w:eastAsia="en-BE" w:bidi="ar-SA"/>
        </w:rPr>
      </w:pPr>
    </w:p>
    <w:p w14:paraId="6BBF8EA2" w14:textId="77777777" w:rsidR="00000000" w:rsidRDefault="007660BE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2ECFD616" w14:textId="77777777" w:rsidR="00000000" w:rsidRDefault="007660BE">
      <w:pPr>
        <w:ind w:firstLine="709"/>
        <w:jc w:val="both"/>
        <w:rPr>
          <w:lang w:val="en-BE" w:eastAsia="en-BE" w:bidi="ar-SA"/>
        </w:rPr>
      </w:pPr>
    </w:p>
    <w:p w14:paraId="7654DFEF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</w:t>
      </w:r>
      <w:r>
        <w:rPr>
          <w:lang w:val="en-BE" w:eastAsia="en-BE" w:bidi="ar-SA"/>
        </w:rPr>
        <w:t xml:space="preserve">ворении исковых требований Габулаевой Ирины Николаевны к ПАО Сбербанк, </w:t>
      </w:r>
      <w:r>
        <w:rPr>
          <w:rStyle w:val="cat-Addressgrp-1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Сбербанка», ООО «СК «Сбербанк Страхование Жизни» о расторжении договора негосударственного пенсионного обеспечения, признании договора страхования недействительным, взыскании дене</w:t>
      </w:r>
      <w:r>
        <w:rPr>
          <w:lang w:val="en-BE" w:eastAsia="en-BE" w:bidi="ar-SA"/>
        </w:rPr>
        <w:t xml:space="preserve">жных средств, компенсации морального вреда, штрафа   – отказать.  </w:t>
      </w:r>
    </w:p>
    <w:p w14:paraId="311FBAC7" w14:textId="77777777" w:rsidR="00000000" w:rsidRDefault="007660BE">
      <w:pPr>
        <w:ind w:firstLine="709"/>
        <w:jc w:val="both"/>
        <w:rPr>
          <w:lang w:val="en-BE" w:eastAsia="en-BE" w:bidi="ar-SA"/>
        </w:rPr>
      </w:pPr>
      <w:r>
        <w:rPr>
          <w:spacing w:val="2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294D2DF3" w14:textId="77777777" w:rsidR="00000000" w:rsidRDefault="007660BE">
      <w:pPr>
        <w:ind w:right="72" w:firstLine="709"/>
        <w:jc w:val="both"/>
        <w:rPr>
          <w:lang w:val="en-BE" w:eastAsia="en-BE" w:bidi="ar-SA"/>
        </w:rPr>
      </w:pPr>
    </w:p>
    <w:p w14:paraId="10E88BF6" w14:textId="77777777" w:rsidR="00000000" w:rsidRDefault="007660BE">
      <w:pPr>
        <w:ind w:right="72" w:firstLine="709"/>
        <w:jc w:val="both"/>
        <w:rPr>
          <w:lang w:val="en-BE" w:eastAsia="en-BE" w:bidi="ar-SA"/>
        </w:rPr>
      </w:pPr>
    </w:p>
    <w:p w14:paraId="444E1730" w14:textId="77777777" w:rsidR="00000000" w:rsidRDefault="007660BE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И.Ю. Горькова </w:t>
      </w:r>
    </w:p>
    <w:p w14:paraId="02DC5679" w14:textId="77777777" w:rsidR="00000000" w:rsidRDefault="007660BE">
      <w:pPr>
        <w:ind w:firstLine="709"/>
        <w:jc w:val="both"/>
        <w:rPr>
          <w:lang w:val="en-BE" w:eastAsia="en-BE" w:bidi="ar-SA"/>
        </w:rPr>
      </w:pPr>
    </w:p>
    <w:sectPr w:rsidR="00000000">
      <w:footerReference w:type="default" r:id="rId2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C9FFB" w14:textId="77777777" w:rsidR="00000000" w:rsidRDefault="007660BE">
      <w:r>
        <w:separator/>
      </w:r>
    </w:p>
  </w:endnote>
  <w:endnote w:type="continuationSeparator" w:id="0">
    <w:p w14:paraId="1F51A3C8" w14:textId="77777777" w:rsidR="00000000" w:rsidRDefault="0076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9FF9A" w14:textId="77777777" w:rsidR="00000000" w:rsidRDefault="007660BE">
    <w:pPr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 xml:space="preserve">PAGE  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3CBF895E" w14:textId="77777777" w:rsidR="00000000" w:rsidRDefault="007660BE">
    <w:pPr>
      <w:ind w:right="360"/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DFEC0" w14:textId="77777777" w:rsidR="00000000" w:rsidRDefault="007660BE">
      <w:r>
        <w:separator/>
      </w:r>
    </w:p>
  </w:footnote>
  <w:footnote w:type="continuationSeparator" w:id="0">
    <w:p w14:paraId="7D01AF34" w14:textId="77777777" w:rsidR="00000000" w:rsidRDefault="0076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0BE"/>
    <w:rsid w:val="0076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1671845"/>
  <w15:chartTrackingRefBased/>
  <w15:docId w15:val="{87E50C60-1961-48B4-9285-330B591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UserDefined252620grp-19rplc-6">
    <w:name w:val="cat-UserDefined252620 grp-19 rplc-6"/>
    <w:basedOn w:val="a0"/>
  </w:style>
  <w:style w:type="character" w:customStyle="1" w:styleId="cat-Addressgrp-1rplc-7">
    <w:name w:val="cat-Address grp-1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UserDefined252621grp-20rplc-14">
    <w:name w:val="cat-UserDefined252621 grp-20 rplc-14"/>
    <w:basedOn w:val="a0"/>
  </w:style>
  <w:style w:type="character" w:customStyle="1" w:styleId="cat-FIOgrp-7rplc-15">
    <w:name w:val="cat-FIO grp-7 rplc-15"/>
    <w:basedOn w:val="a0"/>
  </w:style>
  <w:style w:type="character" w:customStyle="1" w:styleId="cat-Sumgrp-11rplc-16">
    <w:name w:val="cat-Sum grp-11 rplc-16"/>
    <w:basedOn w:val="a0"/>
  </w:style>
  <w:style w:type="character" w:customStyle="1" w:styleId="cat-Sumgrp-14rplc-17">
    <w:name w:val="cat-Sum grp-14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UserDefined252622grp-21rplc-20">
    <w:name w:val="cat-UserDefined252622 grp-21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Addressgrp-1rplc-22">
    <w:name w:val="cat-Address grp-1 rplc-22"/>
    <w:basedOn w:val="a0"/>
  </w:style>
  <w:style w:type="character" w:customStyle="1" w:styleId="cat-UserDefined252620grp-19rplc-23">
    <w:name w:val="cat-UserDefined252620 grp-19 rplc-23"/>
    <w:basedOn w:val="a0"/>
  </w:style>
  <w:style w:type="character" w:customStyle="1" w:styleId="cat-Sumgrp-10rplc-24">
    <w:name w:val="cat-Sum grp-10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0rplc-27">
    <w:name w:val="cat-Sum grp-10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Sumgrp-17rplc-30">
    <w:name w:val="cat-Sum grp-17 rplc-30"/>
    <w:basedOn w:val="a0"/>
  </w:style>
  <w:style w:type="character" w:customStyle="1" w:styleId="cat-Addressgrp-2rplc-31">
    <w:name w:val="cat-Address grp-2 rplc-31"/>
    <w:basedOn w:val="a0"/>
  </w:style>
  <w:style w:type="character" w:customStyle="1" w:styleId="cat-UserDefined252623grp-22rplc-32">
    <w:name w:val="cat-UserDefined252623 grp-22 rplc-32"/>
    <w:basedOn w:val="a0"/>
  </w:style>
  <w:style w:type="character" w:customStyle="1" w:styleId="cat-Addressgrp-1rplc-33">
    <w:name w:val="cat-Address grp-1 rplc-33"/>
    <w:basedOn w:val="a0"/>
  </w:style>
  <w:style w:type="character" w:customStyle="1" w:styleId="cat-Sumgrp-10rplc-34">
    <w:name w:val="cat-Sum grp-10 rplc-34"/>
    <w:basedOn w:val="a0"/>
  </w:style>
  <w:style w:type="character" w:customStyle="1" w:styleId="cat-Sumgrp-18rplc-35">
    <w:name w:val="cat-Sum grp-18 rplc-35"/>
    <w:basedOn w:val="a0"/>
  </w:style>
  <w:style w:type="character" w:customStyle="1" w:styleId="cat-Addressgrp-1rplc-36">
    <w:name w:val="cat-Address grp-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Sumgrp-10rplc-38">
    <w:name w:val="cat-Sum grp-10 rplc-38"/>
    <w:basedOn w:val="a0"/>
  </w:style>
  <w:style w:type="character" w:customStyle="1" w:styleId="cat-Addressgrp-1rplc-40">
    <w:name w:val="cat-Address grp-1 rplc-4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77025&amp;dst=102064" TargetMode="External"/><Relationship Id="rId13" Type="http://schemas.openxmlformats.org/officeDocument/2006/relationships/hyperlink" Target="https://login.consultant.ru/link/?req=doc&amp;base=LAW&amp;n=370265&amp;dst=369" TargetMode="External"/><Relationship Id="rId18" Type="http://schemas.openxmlformats.org/officeDocument/2006/relationships/hyperlink" Target="https://login.consultant.ru/link/?req=doc&amp;base=LAW&amp;n=382725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377025&amp;dst=102063" TargetMode="External"/><Relationship Id="rId12" Type="http://schemas.openxmlformats.org/officeDocument/2006/relationships/hyperlink" Target="https://login.consultant.ru/link/?req=doc&amp;base=LAW&amp;n=370265&amp;dst=367" TargetMode="External"/><Relationship Id="rId17" Type="http://schemas.openxmlformats.org/officeDocument/2006/relationships/hyperlink" Target="https://login.consultant.ru/link/?req=doc&amp;base=LAW&amp;n=370265&amp;dst=1021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370265&amp;dst=403" TargetMode="External"/><Relationship Id="rId20" Type="http://schemas.openxmlformats.org/officeDocument/2006/relationships/hyperlink" Target="https://login.consultant.ru/link/?req=doc&amp;base=LAW&amp;n=410306&amp;dst=108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370265&amp;dst=1009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370265&amp;dst=40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70265&amp;dst=100946" TargetMode="External"/><Relationship Id="rId19" Type="http://schemas.openxmlformats.org/officeDocument/2006/relationships/hyperlink" Target="https://login.consultant.ru/link/?req=doc&amp;base=LAW&amp;n=382725&amp;dst=100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0265&amp;dst=11054" TargetMode="External"/><Relationship Id="rId14" Type="http://schemas.openxmlformats.org/officeDocument/2006/relationships/hyperlink" Target="https://login.consultant.ru/link/?req=doc&amp;base=LAW&amp;n=370265&amp;dst=4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2248</Words>
  <Characters>12820</Characters>
  <Application>Microsoft Office Word</Application>
  <DocSecurity>0</DocSecurity>
  <Lines>106</Lines>
  <Paragraphs>30</Paragraphs>
  <ScaleCrop>false</ScaleCrop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