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09B5" w14:textId="77777777" w:rsidR="00CA0950" w:rsidRPr="00DD755F" w:rsidRDefault="00E257BA" w:rsidP="00DD755F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bookmarkStart w:id="0" w:name="_GoBack"/>
      <w:bookmarkEnd w:id="0"/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РЕШЕНИЕ</w:t>
      </w:r>
    </w:p>
    <w:p w14:paraId="0E5646D7" w14:textId="77777777" w:rsidR="00CA0950" w:rsidRPr="00DD755F" w:rsidRDefault="00E257BA" w:rsidP="00DD755F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Именем Российской Федерации</w:t>
      </w:r>
    </w:p>
    <w:p w14:paraId="1EE850AB" w14:textId="77777777" w:rsidR="00CA0950" w:rsidRPr="00DD755F" w:rsidRDefault="00E257BA" w:rsidP="00F46E58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23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июня 2016 года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</w:p>
    <w:p w14:paraId="516B6A31" w14:textId="77777777" w:rsidR="00CA0950" w:rsidRPr="00DD755F" w:rsidRDefault="00E257BA" w:rsidP="00DD755F">
      <w:pPr>
        <w:keepNext/>
        <w:suppressAutoHyphens w:val="0"/>
        <w:spacing w:after="0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Тушинский районный суд г. Москвы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в составе</w:t>
      </w:r>
    </w:p>
    <w:p w14:paraId="20D5AAE0" w14:textId="77777777" w:rsidR="00CA0950" w:rsidRPr="00DD755F" w:rsidRDefault="00E257BA" w:rsidP="00DD755F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председательствующего судьи Ушаковой Т.Г., </w:t>
      </w:r>
    </w:p>
    <w:p w14:paraId="40091B62" w14:textId="77777777" w:rsidR="00CA0950" w:rsidRPr="00DD755F" w:rsidRDefault="00E257BA" w:rsidP="00DD755F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при секретаре Варф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о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л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о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меевой М.В., </w:t>
      </w:r>
    </w:p>
    <w:p w14:paraId="386C476F" w14:textId="77777777" w:rsidR="00CA0950" w:rsidRPr="00DD755F" w:rsidRDefault="00E257BA" w:rsidP="00DD755F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рассмотрев в открытом судебном заседании гражданское дело № 2-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591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4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/16 по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иску ПАО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«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Сбербанк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России»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лице филиала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-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Московского банка к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Лыгину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Д.С.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о взыскании задолженности по банковской карте, </w:t>
      </w:r>
    </w:p>
    <w:p w14:paraId="2CFD3615" w14:textId="77777777" w:rsidR="00CA0950" w:rsidRPr="00DD755F" w:rsidRDefault="00E257BA" w:rsidP="00DD755F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установил: </w:t>
      </w:r>
    </w:p>
    <w:p w14:paraId="0910856B" w14:textId="77777777" w:rsidR="00884ECE" w:rsidRPr="00DD755F" w:rsidRDefault="00E257BA" w:rsidP="00884ECE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Истец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ПАО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«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Сбербанк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России»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лице филиала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-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Московского банка обратил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ся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суд с иском к Лыгину Д.С. о взыскании задолж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енности по кредитно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й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карте №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***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размере 61194 руб. 76 коп., в том числе сумм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ы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просроченного основного долга в размере 54830 руб. 74 коп., сумм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ы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просроченных процентов в размере 4714 руб. 15 коп., неустойк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и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размере 899 руб. 87 коп., комисси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и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банка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в ра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750 руб. 00 коп.,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также просит взыскать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расход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ы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по уплате государственной пошлины в размере 2035 руб. 84 коп.</w:t>
      </w:r>
    </w:p>
    <w:p w14:paraId="59DB1FC7" w14:textId="77777777" w:rsidR="00CA0950" w:rsidRPr="00DD755F" w:rsidRDefault="00E257BA" w:rsidP="00884EC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В обоснование иска указано, что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17.05.2013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года между ПАО Сбербанк (ранее – ОАО «Сбербанк России») и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Лыгиным Д.С.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результате публичной офе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рты был заключен договор (эмиссионный контракт № 0910-Р-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***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) на предоставление последней возобновляемой кредитной линии посредством выдачи ей международной кредитной карты Сбербанка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путем оформления ответчи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ком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заявления на получение кр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едитной карты Сбербанка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ознакомления е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го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с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№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***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с лимитом кредита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100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000,00 рублей на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12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мес. Под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19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% годовых, условия предоставления и возврата которого изложены информации о полной стоимости кредита, условиях и тарифах Сбербанка.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В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соответствии с договором от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17.05.2013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года банк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свои обязательства исполнил, предоставив кредит по карте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№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***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, а также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сторонами сроки и размере платежи по погашению суммы кредита и процентов, чем нарушает условия исполнения договора.</w:t>
      </w:r>
    </w:p>
    <w:p w14:paraId="465F0131" w14:textId="77777777" w:rsidR="007B3F29" w:rsidRPr="00DD755F" w:rsidRDefault="00E257BA" w:rsidP="00884EC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Истец ПАО </w:t>
      </w:r>
      <w:r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«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Сбербанк </w:t>
      </w:r>
      <w:r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России» 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в лице филиала Московского Банка в судебное заседание не явился, будучи надлежащим образом извещенным о месте и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 времени его проведения, в исковом заявлении ходатайствовал о рассмотрении дела без участия представителя. </w:t>
      </w:r>
    </w:p>
    <w:p w14:paraId="45BD7DDB" w14:textId="77777777" w:rsidR="007B3F29" w:rsidRDefault="00E257BA" w:rsidP="00884EC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Ответчик 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Лыгин Д.С.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в судебное заседание не явилс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я</w:t>
      </w:r>
      <w:r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, о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 дне, времени и месте проведения судебного заседания извещалс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я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 надлежащим образом.</w:t>
      </w:r>
    </w:p>
    <w:p w14:paraId="11921839" w14:textId="77777777" w:rsidR="00884ECE" w:rsidRPr="00D01FA6" w:rsidRDefault="00E257BA" w:rsidP="00884EC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D01FA6">
        <w:rPr>
          <w:rFonts w:ascii="Arial Narrow" w:hAnsi="Arial Narrow"/>
          <w:bCs/>
          <w:sz w:val="28"/>
          <w:szCs w:val="28"/>
          <w:highlight w:val="white"/>
        </w:rPr>
        <w:t>В силу ст.15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5 ГПК РФ разбирательство  гражданского дела  происходит в  судебном заседании с обязательным извещением лиц, участвующих в деле, о времени и месте заседания.</w:t>
      </w:r>
    </w:p>
    <w:p w14:paraId="2CB7F822" w14:textId="77777777" w:rsidR="00884ECE" w:rsidRPr="00D01FA6" w:rsidRDefault="00E257BA" w:rsidP="00884EC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D01FA6">
        <w:rPr>
          <w:rFonts w:ascii="Arial Narrow" w:hAnsi="Arial Narrow"/>
          <w:bCs/>
          <w:sz w:val="28"/>
          <w:szCs w:val="28"/>
          <w:highlight w:val="white"/>
        </w:rPr>
        <w:t>В соответствии  с п.1 ст.113 ГПК РФ лица, участвующие в деле,  извещаются  или вызываются  в суд з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 xml:space="preserve">аказным письмом с уведомлением о вручении, судебной повесткой  с уведомлением о вручении, телефонограммой или телеграммой, по факсимильной связи  либо с использованием иных средств связи и доставки, 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lastRenderedPageBreak/>
        <w:t>обеспечивающих фиксирование судебного извещения или вызов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а и его вручение адресату.</w:t>
      </w:r>
    </w:p>
    <w:p w14:paraId="28B6F763" w14:textId="77777777" w:rsidR="00884ECE" w:rsidRPr="00D01FA6" w:rsidRDefault="00E257BA" w:rsidP="00884EC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D01FA6">
        <w:rPr>
          <w:rFonts w:ascii="Arial Narrow" w:hAnsi="Arial Narrow"/>
          <w:bCs/>
          <w:sz w:val="28"/>
          <w:szCs w:val="28"/>
          <w:highlight w:val="white"/>
        </w:rPr>
        <w:t>Как следует из материалов дела,</w:t>
      </w:r>
      <w:r w:rsidRPr="00D01FA6">
        <w:rPr>
          <w:rFonts w:ascii="Arial Narrow" w:hAnsi="Arial Narrow"/>
          <w:sz w:val="28"/>
          <w:szCs w:val="28"/>
          <w:highlight w:val="white"/>
        </w:rPr>
        <w:t xml:space="preserve"> копии паспорта, представленного при оформлении кредита, </w:t>
      </w:r>
      <w:r>
        <w:rPr>
          <w:rFonts w:ascii="Arial Narrow" w:hAnsi="Arial Narrow"/>
          <w:sz w:val="28"/>
          <w:szCs w:val="28"/>
          <w:highlight w:val="white"/>
        </w:rPr>
        <w:t>Лыгин Д.С.</w:t>
      </w:r>
      <w:r w:rsidRPr="00D01FA6">
        <w:rPr>
          <w:rFonts w:ascii="Arial Narrow" w:hAnsi="Arial Narrow"/>
          <w:sz w:val="28"/>
          <w:szCs w:val="28"/>
          <w:highlight w:val="white"/>
        </w:rPr>
        <w:t xml:space="preserve"> зарегистрирован по адресу: г. Москва,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D01FA6">
        <w:rPr>
          <w:rFonts w:ascii="Arial Narrow" w:hAnsi="Arial Narrow"/>
          <w:sz w:val="28"/>
          <w:szCs w:val="28"/>
          <w:highlight w:val="white"/>
        </w:rPr>
        <w:t xml:space="preserve">. 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По указанн</w:t>
      </w:r>
      <w:r>
        <w:rPr>
          <w:rFonts w:ascii="Arial Narrow" w:hAnsi="Arial Narrow"/>
          <w:bCs/>
          <w:sz w:val="28"/>
          <w:szCs w:val="28"/>
          <w:highlight w:val="white"/>
        </w:rPr>
        <w:t>ому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 xml:space="preserve">  адрес</w:t>
      </w:r>
      <w:r>
        <w:rPr>
          <w:rFonts w:ascii="Arial Narrow" w:hAnsi="Arial Narrow"/>
          <w:bCs/>
          <w:sz w:val="28"/>
          <w:szCs w:val="28"/>
          <w:highlight w:val="white"/>
        </w:rPr>
        <w:t>у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 xml:space="preserve"> заказными письмами с уведомлениями были направлены извещения о вр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 xml:space="preserve">емени и месте проведения судебных  заседаний. Конверты вернулись в суд с отметкой: «истек срок хранения». При этом, ответчик извещался сотрудниками отделения почтовой связи о необходимости явки за получением судебной корреспонденции. </w:t>
      </w:r>
    </w:p>
    <w:p w14:paraId="0E3D4BF0" w14:textId="77777777" w:rsidR="00884ECE" w:rsidRPr="00D01FA6" w:rsidRDefault="00E257BA" w:rsidP="00884EC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D01FA6">
        <w:rPr>
          <w:rFonts w:ascii="Arial Narrow" w:hAnsi="Arial Narrow"/>
          <w:bCs/>
          <w:sz w:val="28"/>
          <w:szCs w:val="28"/>
          <w:highlight w:val="white"/>
        </w:rPr>
        <w:t>Согласно п.67 Постано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вления Пленума Верховного Суда Российской Федерации № 25 от 23 июня 2015 года «О применении судами некоторых положений раздела 1 части первой Гражданского кодекса Российской Федерации» риск неполучения поступившей корреспонденции несет адресат. Судебное из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вещение считается доставленным, если адресат уклонился от получения корреспонденции в отделении связи, в связи, с чем оно было возвращено по истечении срока хранения.</w:t>
      </w:r>
    </w:p>
    <w:p w14:paraId="6096E7CA" w14:textId="77777777" w:rsidR="00884ECE" w:rsidRPr="00D01FA6" w:rsidRDefault="00E257BA" w:rsidP="00884EC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D01FA6">
        <w:rPr>
          <w:rFonts w:ascii="Arial Narrow" w:hAnsi="Arial Narrow"/>
          <w:bCs/>
          <w:sz w:val="28"/>
          <w:szCs w:val="28"/>
          <w:highlight w:val="white"/>
        </w:rPr>
        <w:t>В силу ст.9 ГК РФ граждане и юридические лица по своему усмотрению осуществляют принадлеж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ащие им гражданские права.</w:t>
      </w:r>
    </w:p>
    <w:p w14:paraId="184713AA" w14:textId="77777777" w:rsidR="00884ECE" w:rsidRPr="00D01FA6" w:rsidRDefault="00E257BA" w:rsidP="00884EC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D01FA6">
        <w:rPr>
          <w:rFonts w:ascii="Arial Narrow" w:hAnsi="Arial Narrow"/>
          <w:sz w:val="28"/>
          <w:szCs w:val="28"/>
          <w:highlight w:val="white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процессуальных действий.</w:t>
      </w:r>
    </w:p>
    <w:p w14:paraId="79CA2E15" w14:textId="77777777" w:rsidR="00884ECE" w:rsidRPr="00D01FA6" w:rsidRDefault="00E257BA" w:rsidP="00884EC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/>
        <w:ind w:firstLine="720"/>
        <w:jc w:val="both"/>
        <w:rPr>
          <w:rFonts w:ascii="Arial Narrow" w:hAnsi="Arial Narrow"/>
          <w:sz w:val="28"/>
          <w:szCs w:val="28"/>
        </w:rPr>
      </w:pPr>
      <w:r w:rsidRPr="00D01FA6">
        <w:rPr>
          <w:rFonts w:ascii="Arial Narrow" w:hAnsi="Arial Narrow"/>
          <w:sz w:val="28"/>
          <w:szCs w:val="28"/>
          <w:highlight w:val="white"/>
        </w:rPr>
        <w:t>В соответствии с п.4 ст.15 Конституции Россий</w:t>
      </w:r>
      <w:r w:rsidRPr="00D01FA6">
        <w:rPr>
          <w:rFonts w:ascii="Arial Narrow" w:hAnsi="Arial Narrow"/>
          <w:sz w:val="28"/>
          <w:szCs w:val="28"/>
          <w:highlight w:val="white"/>
        </w:rPr>
        <w:t>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</w:t>
      </w:r>
      <w:r w:rsidRPr="00D01FA6">
        <w:rPr>
          <w:rFonts w:ascii="Arial Narrow" w:hAnsi="Arial Narrow"/>
          <w:sz w:val="28"/>
          <w:szCs w:val="28"/>
          <w:highlight w:val="white"/>
        </w:rPr>
        <w:t xml:space="preserve"> законом, то применяются правила международного договора.</w:t>
      </w:r>
    </w:p>
    <w:p w14:paraId="5C56C6DA" w14:textId="77777777" w:rsidR="00884ECE" w:rsidRPr="00D01FA6" w:rsidRDefault="00E257BA" w:rsidP="00884EC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/>
        <w:ind w:firstLine="720"/>
        <w:jc w:val="both"/>
        <w:rPr>
          <w:rFonts w:ascii="Arial Narrow" w:hAnsi="Arial Narrow"/>
          <w:sz w:val="28"/>
          <w:szCs w:val="28"/>
        </w:rPr>
      </w:pPr>
      <w:r w:rsidRPr="00D01FA6">
        <w:rPr>
          <w:rFonts w:ascii="Arial Narrow" w:hAnsi="Arial Narrow"/>
          <w:sz w:val="28"/>
          <w:szCs w:val="28"/>
          <w:highlight w:val="white"/>
        </w:rPr>
        <w:t xml:space="preserve">Согласно п.3 ст.17 Конституции Российской Федерации осуществление прав и свобод человека и гражданина не должно нарушать права и свободы других лиц. </w:t>
      </w:r>
    </w:p>
    <w:p w14:paraId="08177057" w14:textId="77777777" w:rsidR="00884ECE" w:rsidRPr="00D01FA6" w:rsidRDefault="00E257BA" w:rsidP="00884EC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/>
        <w:ind w:firstLine="709"/>
        <w:jc w:val="both"/>
        <w:rPr>
          <w:rFonts w:ascii="Arial Narrow" w:hAnsi="Arial Narrow"/>
          <w:sz w:val="28"/>
          <w:szCs w:val="28"/>
        </w:rPr>
      </w:pPr>
      <w:r w:rsidRPr="00D01FA6">
        <w:rPr>
          <w:rFonts w:ascii="Arial Narrow" w:hAnsi="Arial Narrow"/>
          <w:sz w:val="28"/>
          <w:szCs w:val="28"/>
          <w:highlight w:val="white"/>
        </w:rPr>
        <w:t xml:space="preserve">Согласно ст.6 Конвенции «О защите прав человека </w:t>
      </w:r>
      <w:r w:rsidRPr="00D01FA6">
        <w:rPr>
          <w:rFonts w:ascii="Arial Narrow" w:hAnsi="Arial Narrow"/>
          <w:sz w:val="28"/>
          <w:szCs w:val="28"/>
          <w:highlight w:val="white"/>
        </w:rPr>
        <w:t>и основных свобод»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</w:t>
      </w:r>
      <w:r w:rsidRPr="00D01FA6">
        <w:rPr>
          <w:rFonts w:ascii="Arial Narrow" w:hAnsi="Arial Narrow"/>
          <w:sz w:val="28"/>
          <w:szCs w:val="28"/>
          <w:highlight w:val="white"/>
        </w:rPr>
        <w:t xml:space="preserve">м на основании закона. </w:t>
      </w:r>
    </w:p>
    <w:p w14:paraId="063D769A" w14:textId="77777777" w:rsidR="00884ECE" w:rsidRPr="00D01FA6" w:rsidRDefault="00E257BA" w:rsidP="00884EC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/>
        <w:ind w:firstLine="709"/>
        <w:jc w:val="both"/>
        <w:rPr>
          <w:rFonts w:ascii="Arial Narrow" w:hAnsi="Arial Narrow"/>
          <w:spacing w:val="3"/>
          <w:sz w:val="28"/>
          <w:szCs w:val="28"/>
        </w:rPr>
      </w:pPr>
      <w:r w:rsidRPr="00D01FA6">
        <w:rPr>
          <w:rFonts w:ascii="Arial Narrow" w:hAnsi="Arial Narrow"/>
          <w:spacing w:val="4"/>
          <w:sz w:val="28"/>
          <w:szCs w:val="28"/>
          <w:highlight w:val="white"/>
        </w:rPr>
        <w:t xml:space="preserve">По смыслу ст.14 Международного пакта о гражданских и политических правах лицо </w:t>
      </w:r>
      <w:r w:rsidRPr="00D01FA6">
        <w:rPr>
          <w:rFonts w:ascii="Arial Narrow" w:hAnsi="Arial Narrow"/>
          <w:spacing w:val="3"/>
          <w:sz w:val="28"/>
          <w:szCs w:val="28"/>
          <w:highlight w:val="white"/>
        </w:rPr>
        <w:t xml:space="preserve">само определяет объем своих прав и обязанностей в гражданском процессе и реализует их по своему усмотрению. </w:t>
      </w:r>
    </w:p>
    <w:p w14:paraId="7EFB9FDF" w14:textId="77777777" w:rsidR="007B3F29" w:rsidRPr="00DD755F" w:rsidRDefault="00E257BA" w:rsidP="00884EC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01FA6">
        <w:rPr>
          <w:rFonts w:ascii="Arial Narrow" w:hAnsi="Arial Narrow"/>
          <w:bCs/>
          <w:sz w:val="28"/>
          <w:szCs w:val="28"/>
          <w:highlight w:val="white"/>
        </w:rPr>
        <w:t>Учитывая, что судом предприняты меры к надлеж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ащему извещению ответчика о времени и месте рассмотрения дела, ответчик самостоятельно отказался от реализации права на получение судебной корреспонденции, в данном случае извещение его о времени и месте рассмотрения дела следует признать надлежащим, в свя</w:t>
      </w:r>
      <w:r w:rsidRPr="00D01FA6">
        <w:rPr>
          <w:rFonts w:ascii="Arial Narrow" w:hAnsi="Arial Narrow"/>
          <w:bCs/>
          <w:sz w:val="28"/>
          <w:szCs w:val="28"/>
          <w:highlight w:val="white"/>
        </w:rPr>
        <w:t>зи с чем суд счел возможным рассмотреть дело в отсутствие ответчика в порядке ст.167 ГПК РФ.</w:t>
      </w:r>
    </w:p>
    <w:p w14:paraId="16313B7B" w14:textId="77777777" w:rsidR="00CA0950" w:rsidRPr="00DD755F" w:rsidRDefault="00E257BA" w:rsidP="00884EC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Суд, изучив материалы дела, оценив доказательства в совокупности, приходит к следующему.</w:t>
      </w:r>
    </w:p>
    <w:p w14:paraId="79C38EC2" w14:textId="77777777" w:rsidR="00CA0950" w:rsidRPr="00DD755F" w:rsidRDefault="00E257BA" w:rsidP="00884ECE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В соответствии с п.1 ст.819 ГК РФ, по кредитному договору банк или иная кр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E48A7B4" w14:textId="77777777" w:rsidR="00CA0950" w:rsidRPr="00DD755F" w:rsidRDefault="00E257BA" w:rsidP="00DD755F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lastRenderedPageBreak/>
        <w:t>В силу ст.309 ГК РФ, обязател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аниями.</w:t>
      </w:r>
    </w:p>
    <w:p w14:paraId="24568EB7" w14:textId="77777777" w:rsidR="00CA0950" w:rsidRPr="00DD755F" w:rsidRDefault="00E257BA" w:rsidP="00DD755F">
      <w:pPr>
        <w:suppressAutoHyphens w:val="0"/>
        <w:autoSpaceDE w:val="0"/>
        <w:autoSpaceDN w:val="0"/>
        <w:adjustRightInd w:val="0"/>
        <w:spacing w:after="0"/>
        <w:ind w:firstLine="709"/>
        <w:jc w:val="both"/>
        <w:outlineLvl w:val="4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Согласно ст.310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7ADD2A8" w14:textId="77777777" w:rsidR="00CA0950" w:rsidRPr="00DD755F" w:rsidRDefault="00E257BA" w:rsidP="00DD755F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Согласно ст.450 ГК РФ по требованию одной из сторон договор может быть изм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енен или расторгнут 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ла вправе рассчитывать при заключении договора.</w:t>
      </w:r>
    </w:p>
    <w:p w14:paraId="52773825" w14:textId="77777777" w:rsidR="00CA0950" w:rsidRPr="00DD755F" w:rsidRDefault="00E257BA" w:rsidP="00DD755F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Судом установлено,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17.05.2013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года между ПАО Сбербанк (ранее – ОАО «Сбербанк России») и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Лыгиным Д.С.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результате публичной оферты был заключен договор (эмиссионный контракт № 0910-Р-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937865290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) на предоставле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ние последнему возобновляемой кредитной линии посредством выдачи ему международной кредитной карты Сбербанка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путем оформления ответчиком заявления на получение кредитной карты Сбербанка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ознакомления его с Условиями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Visa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Credit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val="en-US" w:eastAsia="ru-RU"/>
        </w:rPr>
        <w:t>Momentum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№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***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с лимитом кредита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100000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руб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.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на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12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мес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яцев, п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од 19 %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годовых, условия предоставления и возврата которого изложены информации о полной стоимости кредита, условиях и тарифах Сбербанка. </w:t>
      </w:r>
    </w:p>
    <w:p w14:paraId="42B1B75C" w14:textId="77777777" w:rsidR="00CA0950" w:rsidRPr="00DD755F" w:rsidRDefault="00E257BA" w:rsidP="00DD755F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Согласно Условиям выпуска и обслуживания кредитной карты ОАО «Сбербанк России» держатель карты ежемесячно до наступления даты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 платежа пополняет счет карты на сумму обязательного платежа, указанную в отчете для погашения задолженности.</w:t>
      </w:r>
    </w:p>
    <w:p w14:paraId="36D42F0C" w14:textId="77777777" w:rsidR="00CA0950" w:rsidRPr="00DD755F" w:rsidRDefault="00E257BA" w:rsidP="00DD755F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051DA50C" w14:textId="77777777" w:rsidR="00CA0950" w:rsidRPr="00DD755F" w:rsidRDefault="00E257BA" w:rsidP="00DD755F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Факт неисполнения ответчиком условий договора, подт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верждается представленным суду расчетом задолженности   и направленным на адрес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диту.</w:t>
      </w:r>
    </w:p>
    <w:p w14:paraId="5D516DFD" w14:textId="77777777" w:rsidR="00CA0950" w:rsidRPr="00DD755F" w:rsidRDefault="00E257BA" w:rsidP="00DD755F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Поскольку ответчик не исполняет обязательств по договору 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от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17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.05.201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3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года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, а доказательств обратного суду не представлено, суд взыскивает с ответчика в пользу истца сумму просроченного основного долга в размере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54830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 руб. 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74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 коп., сумму просроченны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х процентов в размере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4714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 руб. 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15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 коп., неустойку в размере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899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руб. 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87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 коп.,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комиссию в размере 750 руб. 00 коп.,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согласно расчету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,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представленному истцом и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ответчиком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не оспоренному.</w:t>
      </w:r>
    </w:p>
    <w:p w14:paraId="17F55855" w14:textId="77777777" w:rsidR="001876A7" w:rsidRPr="00DD755F" w:rsidRDefault="00E257BA" w:rsidP="00DD755F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В соответствии со ст.98 ГПК РФ, суд взыскивает с ответчика в пользу ис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тца уплаченную сумму государственной пошлины в размере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2035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руб.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84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коп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.</w:t>
      </w:r>
    </w:p>
    <w:p w14:paraId="3A4A6B0E" w14:textId="77777777" w:rsidR="00CA0950" w:rsidRPr="00DD755F" w:rsidRDefault="00E257BA" w:rsidP="00DD755F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На основании изложенного</w:t>
      </w:r>
      <w:r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>,</w:t>
      </w:r>
      <w:r w:rsidRPr="00DD755F">
        <w:rPr>
          <w:rFonts w:ascii="Arial Narrow" w:eastAsia="Times New Roman" w:hAnsi="Arial Narrow"/>
          <w:sz w:val="28"/>
          <w:szCs w:val="28"/>
          <w:highlight w:val="white"/>
          <w:lang w:eastAsia="ru-RU"/>
        </w:rPr>
        <w:t xml:space="preserve"> руководствуясь ст.ст.194-199 ГПК РФ, суд </w:t>
      </w:r>
    </w:p>
    <w:p w14:paraId="53F9B813" w14:textId="77777777" w:rsidR="00CA0950" w:rsidRPr="00DD755F" w:rsidRDefault="00E257BA" w:rsidP="00DD755F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РЕШИЛ:</w:t>
      </w:r>
    </w:p>
    <w:p w14:paraId="2E178F63" w14:textId="77777777" w:rsidR="00CA0950" w:rsidRPr="00DD755F" w:rsidRDefault="00E257BA" w:rsidP="00DD755F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Исковые требования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ПАО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«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Сбербанк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России»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лице филиала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-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Московского банка к Лыгину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Д.С.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о взыскании задолж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енности по банковской карте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-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удовлетворить. </w:t>
      </w:r>
    </w:p>
    <w:p w14:paraId="58E4A4AD" w14:textId="77777777" w:rsidR="00CA0950" w:rsidRPr="00DD755F" w:rsidRDefault="00E257BA" w:rsidP="00DD755F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Взыскать с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Лыгина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Д.С.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в пользу ПАО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«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Сбербанк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России»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в лице филиала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-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Московского банка задолженност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ь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по кредитной карте №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***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в размере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61194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руб.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76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коп., расходы по уплате государственной пошлины в размере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2035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руб.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84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коп.</w:t>
      </w:r>
    </w:p>
    <w:p w14:paraId="568E6746" w14:textId="77777777" w:rsidR="00CA0950" w:rsidRPr="00DD755F" w:rsidRDefault="00E257BA" w:rsidP="00DD755F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Решение может быть обжаловано в Московский городской суд через Тушинский районный суд </w:t>
      </w:r>
      <w:r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г. Москвы 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в течение месяца.</w:t>
      </w:r>
    </w:p>
    <w:p w14:paraId="301CCDE2" w14:textId="77777777" w:rsidR="00CA0950" w:rsidRPr="00DD755F" w:rsidRDefault="00E257BA" w:rsidP="00DD755F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</w:p>
    <w:p w14:paraId="5C132EB1" w14:textId="77777777" w:rsidR="00CA0950" w:rsidRPr="00DD755F" w:rsidRDefault="00E257BA" w:rsidP="00DA20A8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>Судья:</w:t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ab/>
      </w:r>
      <w:r w:rsidRPr="00DD755F">
        <w:rPr>
          <w:rFonts w:ascii="Arial Narrow" w:eastAsia="Times New Roman" w:hAnsi="Arial Narrow"/>
          <w:color w:val="000000"/>
          <w:sz w:val="28"/>
          <w:szCs w:val="28"/>
          <w:highlight w:val="white"/>
          <w:lang w:eastAsia="ru-RU"/>
        </w:rPr>
        <w:t xml:space="preserve">                </w:t>
      </w:r>
    </w:p>
    <w:sectPr w:rsidR="00CA0950" w:rsidRPr="00DD755F" w:rsidSect="0084552D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691"/>
    <w:rsid w:val="00E2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18967E61"/>
  <w15:chartTrackingRefBased/>
  <w15:docId w15:val="{F253B3E1-86B2-4513-8982-264AE68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56E"/>
    <w:pPr>
      <w:suppressAutoHyphens/>
      <w:spacing w:after="200"/>
    </w:pPr>
    <w:rPr>
      <w:rFonts w:ascii="Calibri" w:eastAsia="Calibri" w:hAnsi="Calibri"/>
      <w:sz w:val="22"/>
      <w:szCs w:val="22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DA20A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fio1">
    <w:name w:val="fio1"/>
    <w:basedOn w:val="11"/>
  </w:style>
  <w:style w:type="character" w:customStyle="1" w:styleId="data2">
    <w:name w:val="data2"/>
    <w:basedOn w:val="11"/>
  </w:style>
  <w:style w:type="character" w:customStyle="1" w:styleId="fio2">
    <w:name w:val="fio2"/>
    <w:basedOn w:val="11"/>
  </w:style>
  <w:style w:type="character" w:customStyle="1" w:styleId="fio3">
    <w:name w:val="fio3"/>
    <w:basedOn w:val="11"/>
  </w:style>
  <w:style w:type="character" w:customStyle="1" w:styleId="fio4">
    <w:name w:val="fio4"/>
    <w:basedOn w:val="11"/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pPr>
      <w:spacing w:after="0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1" w:after="0"/>
    </w:pPr>
    <w:rPr>
      <w:rFonts w:ascii="Times New Roman" w:eastAsia="Times New Roman" w:hAnsi="Times New Roman"/>
      <w:sz w:val="24"/>
      <w:szCs w:val="24"/>
    </w:rPr>
  </w:style>
  <w:style w:type="paragraph" w:customStyle="1" w:styleId="210">
    <w:name w:val="Основной текст 21"/>
    <w:basedOn w:val="a"/>
    <w:pPr>
      <w:overflowPunct w:val="0"/>
      <w:autoSpaceDE w:val="0"/>
      <w:jc w:val="both"/>
    </w:pPr>
    <w:rPr>
      <w:szCs w:val="20"/>
    </w:rPr>
  </w:style>
  <w:style w:type="paragraph" w:customStyle="1" w:styleId="31">
    <w:name w:val="Основной текст 31"/>
    <w:basedOn w:val="a"/>
    <w:pPr>
      <w:spacing w:after="120"/>
      <w:ind w:firstLine="709"/>
      <w:jc w:val="both"/>
    </w:pPr>
    <w:rPr>
      <w:rFonts w:ascii="Times New Roman" w:eastAsia="Times New Roman" w:hAnsi="Times New Roman"/>
      <w:sz w:val="16"/>
      <w:szCs w:val="16"/>
      <w:lang w:val="x-none"/>
    </w:rPr>
  </w:style>
  <w:style w:type="paragraph" w:customStyle="1" w:styleId="22">
    <w:name w:val="Основной текст 22"/>
    <w:basedOn w:val="a"/>
    <w:pPr>
      <w:overflowPunct w:val="0"/>
      <w:autoSpaceDE w:val="0"/>
      <w:jc w:val="both"/>
    </w:pPr>
    <w:rPr>
      <w:szCs w:val="20"/>
    </w:rPr>
  </w:style>
  <w:style w:type="character" w:styleId="a8">
    <w:name w:val="Hyperlink"/>
    <w:uiPriority w:val="99"/>
    <w:semiHidden/>
    <w:unhideWhenUsed/>
    <w:rsid w:val="00705215"/>
    <w:rPr>
      <w:color w:val="0000FF"/>
      <w:u w:val="single"/>
    </w:rPr>
  </w:style>
  <w:style w:type="paragraph" w:styleId="a9">
    <w:name w:val="Title"/>
    <w:basedOn w:val="a"/>
    <w:link w:val="aa"/>
    <w:qFormat/>
    <w:rsid w:val="00463B95"/>
    <w:pPr>
      <w:suppressAutoHyphens w:val="0"/>
      <w:spacing w:after="0"/>
      <w:jc w:val="center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a">
    <w:name w:val="Заголовок Знак"/>
    <w:link w:val="a9"/>
    <w:rsid w:val="00463B95"/>
    <w:rPr>
      <w:sz w:val="28"/>
      <w:szCs w:val="24"/>
    </w:rPr>
  </w:style>
  <w:style w:type="paragraph" w:styleId="3">
    <w:name w:val="Body Text Indent 3"/>
    <w:basedOn w:val="a"/>
    <w:link w:val="30"/>
    <w:semiHidden/>
    <w:unhideWhenUsed/>
    <w:rsid w:val="00463B95"/>
    <w:pPr>
      <w:suppressAutoHyphens w:val="0"/>
      <w:spacing w:after="120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semiHidden/>
    <w:rsid w:val="00463B95"/>
    <w:rPr>
      <w:sz w:val="16"/>
      <w:szCs w:val="16"/>
    </w:rPr>
  </w:style>
  <w:style w:type="character" w:customStyle="1" w:styleId="isl">
    <w:name w:val="isl"/>
    <w:basedOn w:val="a0"/>
    <w:rsid w:val="007E482C"/>
  </w:style>
  <w:style w:type="character" w:customStyle="1" w:styleId="nomer2">
    <w:name w:val="nomer2"/>
    <w:basedOn w:val="a0"/>
    <w:rsid w:val="007E482C"/>
  </w:style>
  <w:style w:type="paragraph" w:customStyle="1" w:styleId="msoclassa3">
    <w:name w:val="msoclassa3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classa4">
    <w:name w:val="msoclassa4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Цветовое выделение"/>
    <w:uiPriority w:val="99"/>
    <w:rsid w:val="00D93E7D"/>
    <w:rPr>
      <w:b/>
      <w:bCs/>
      <w:color w:val="26282F"/>
    </w:rPr>
  </w:style>
  <w:style w:type="paragraph" w:customStyle="1" w:styleId="ac">
    <w:name w:val="Заголовок статьи"/>
    <w:basedOn w:val="a"/>
    <w:next w:val="a"/>
    <w:uiPriority w:val="99"/>
    <w:rsid w:val="00D93E7D"/>
    <w:pPr>
      <w:suppressAutoHyphens w:val="0"/>
      <w:autoSpaceDE w:val="0"/>
      <w:autoSpaceDN w:val="0"/>
      <w:adjustRightInd w:val="0"/>
      <w:spacing w:after="0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d">
    <w:name w:val="Комментарий"/>
    <w:basedOn w:val="a"/>
    <w:next w:val="a"/>
    <w:uiPriority w:val="99"/>
    <w:rsid w:val="00D93E7D"/>
    <w:pPr>
      <w:suppressAutoHyphens w:val="0"/>
      <w:autoSpaceDE w:val="0"/>
      <w:autoSpaceDN w:val="0"/>
      <w:adjustRightInd w:val="0"/>
      <w:spacing w:before="75" w:after="0"/>
      <w:ind w:left="170"/>
      <w:jc w:val="both"/>
    </w:pPr>
    <w:rPr>
      <w:rFonts w:ascii="Arial" w:eastAsia="Times New Roman" w:hAnsi="Arial" w:cs="Arial"/>
      <w:color w:val="353842"/>
      <w:sz w:val="24"/>
      <w:szCs w:val="24"/>
      <w:shd w:val="clear" w:color="auto" w:fill="F0F0F0"/>
      <w:lang w:eastAsia="ru-RU"/>
    </w:rPr>
  </w:style>
  <w:style w:type="character" w:customStyle="1" w:styleId="ae">
    <w:name w:val="Гипертекстовая ссылка"/>
    <w:uiPriority w:val="99"/>
    <w:rsid w:val="00747A14"/>
    <w:rPr>
      <w:b/>
      <w:bCs/>
      <w:color w:val="106BBE"/>
    </w:rPr>
  </w:style>
  <w:style w:type="character" w:customStyle="1" w:styleId="10">
    <w:name w:val="Заголовок 1 Знак"/>
    <w:link w:val="1"/>
    <w:uiPriority w:val="9"/>
    <w:rsid w:val="00DA20A8"/>
    <w:rPr>
      <w:rFonts w:ascii="Cambria" w:hAnsi="Cambria"/>
      <w:b/>
      <w:bCs/>
      <w:kern w:val="32"/>
      <w:sz w:val="32"/>
      <w:szCs w:val="3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