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915DE2" w14:textId="77777777" w:rsidR="00000000" w:rsidRDefault="00582100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bookmarkStart w:id="0" w:name="_GoBack"/>
      <w:bookmarkEnd w:id="0"/>
      <w:r>
        <w:rPr>
          <w:sz w:val="24"/>
          <w:szCs w:val="24"/>
          <w:u w:val="single"/>
          <w:lang w:val="en-BE" w:eastAsia="en-BE" w:bidi="ar-SA"/>
        </w:rPr>
        <w:t>Гражданское дело № 2-</w:t>
      </w:r>
      <w:r>
        <w:rPr>
          <w:sz w:val="24"/>
          <w:szCs w:val="24"/>
          <w:lang w:val="en-BE" w:eastAsia="en-BE" w:bidi="ar-SA"/>
        </w:rPr>
        <w:t>7218</w:t>
      </w:r>
      <w:r>
        <w:rPr>
          <w:sz w:val="24"/>
          <w:szCs w:val="24"/>
          <w:u w:val="single"/>
          <w:lang w:val="en-BE" w:eastAsia="en-BE" w:bidi="ar-SA"/>
        </w:rPr>
        <w:t>/2022</w:t>
      </w:r>
    </w:p>
    <w:p w14:paraId="0CCB855D" w14:textId="77777777" w:rsidR="00000000" w:rsidRDefault="00582100">
      <w:pPr>
        <w:pStyle w:val="1"/>
        <w:spacing w:before="0" w:after="0"/>
        <w:ind w:firstLine="851"/>
        <w:jc w:val="right"/>
        <w:rPr>
          <w:lang w:val="en-BE" w:eastAsia="en-BE" w:bidi="ar-SA"/>
        </w:rPr>
      </w:pPr>
      <w:r>
        <w:rPr>
          <w:sz w:val="24"/>
          <w:szCs w:val="24"/>
          <w:u w:val="single"/>
          <w:lang w:val="en-BE" w:eastAsia="en-BE" w:bidi="ar-SA"/>
        </w:rPr>
        <w:t>77RS0016-02-2022-013135-65</w:t>
      </w:r>
    </w:p>
    <w:p w14:paraId="76C80797" w14:textId="77777777" w:rsidR="00000000" w:rsidRDefault="00582100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РЕШЕНИЕ</w:t>
      </w:r>
    </w:p>
    <w:p w14:paraId="72D81EA5" w14:textId="77777777" w:rsidR="00000000" w:rsidRDefault="00582100">
      <w:pPr>
        <w:pStyle w:val="1"/>
        <w:spacing w:before="0" w:after="0"/>
        <w:ind w:firstLine="851"/>
        <w:jc w:val="center"/>
        <w:rPr>
          <w:lang w:val="en-BE" w:eastAsia="en-BE" w:bidi="ar-SA"/>
        </w:rPr>
      </w:pPr>
      <w:r>
        <w:rPr>
          <w:sz w:val="24"/>
          <w:szCs w:val="24"/>
          <w:lang w:val="en-BE" w:eastAsia="en-BE" w:bidi="ar-SA"/>
        </w:rPr>
        <w:t>Именем Российской Федерации</w:t>
      </w:r>
    </w:p>
    <w:p w14:paraId="681C8445" w14:textId="77777777" w:rsidR="00000000" w:rsidRDefault="00582100">
      <w:pPr>
        <w:rPr>
          <w:lang w:val="en-BE" w:eastAsia="en-BE" w:bidi="ar-SA"/>
        </w:rPr>
      </w:pPr>
    </w:p>
    <w:p w14:paraId="290B2D4D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05 декабря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</w:t>
      </w:r>
      <w:r>
        <w:rPr>
          <w:rStyle w:val="cat-Addressgrp-0rplc-0"/>
          <w:lang w:val="en-BE" w:eastAsia="en-BE" w:bidi="ar-SA"/>
        </w:rPr>
        <w:t>адрес</w:t>
      </w:r>
    </w:p>
    <w:p w14:paraId="2CD59B7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Мещанский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Городилове А.Д., 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2-7218/2022 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</w:t>
      </w:r>
      <w:r>
        <w:rPr>
          <w:lang w:val="en-BE" w:eastAsia="en-BE" w:bidi="ar-SA"/>
        </w:rPr>
        <w:t xml:space="preserve">твенным имуществом по </w:t>
      </w:r>
      <w:r>
        <w:rPr>
          <w:rStyle w:val="cat-Addressgrp-0rplc-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19BA22C9" w14:textId="77777777" w:rsidR="00000000" w:rsidRDefault="00582100">
      <w:pPr>
        <w:ind w:firstLine="851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4D54AD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Публичное акционерное общество «Сбербанк России» в лице филиала - Московского банка ПАО Сбербанк обратилось в суд с иском о взыскании задолженност</w:t>
      </w:r>
      <w:r>
        <w:rPr>
          <w:lang w:val="en-BE" w:eastAsia="en-BE" w:bidi="ar-SA"/>
        </w:rPr>
        <w:t xml:space="preserve">и, расходов по оплате государственной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5rplc-6"/>
          <w:lang w:val="en-BE" w:eastAsia="en-BE" w:bidi="ar-SA"/>
        </w:rPr>
        <w:t>фио</w:t>
      </w:r>
      <w:r>
        <w:rPr>
          <w:lang w:val="en-BE" w:eastAsia="en-BE" w:bidi="ar-SA"/>
        </w:rPr>
        <w:t>. заключен договор на предоставление последнему</w:t>
      </w:r>
      <w:r>
        <w:rPr>
          <w:lang w:val="en-BE" w:eastAsia="en-BE" w:bidi="ar-SA"/>
        </w:rPr>
        <w:t xml:space="preserve">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5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пользование кредитную карту для расчето</w:t>
      </w:r>
      <w:r>
        <w:rPr>
          <w:lang w:val="en-BE" w:eastAsia="en-BE" w:bidi="ar-SA"/>
        </w:rPr>
        <w:t xml:space="preserve">в в рублях, с первоначальным лимитом кредита в размере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На основании Условий выпуска и обслуживания кредитной карты Сбербанка размер лимита кредита по указанной карте был увеличен Банком. В соответствии с договором на предоставление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возобновляемо</w:t>
      </w:r>
      <w:r>
        <w:rPr>
          <w:lang w:val="en-BE" w:eastAsia="en-BE" w:bidi="ar-SA"/>
        </w:rPr>
        <w:t xml:space="preserve">й кредитной линии посредством выдачи кредитной карты банк свои обязательства исполнил, предоставил денежные средства. 01 июня 2021 </w:t>
      </w:r>
      <w:r>
        <w:rPr>
          <w:rStyle w:val="cat-FIOgrp-5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 В связи с чем истец просит взыскать с Территориального управления Федерального агентства по управлению государствен</w:t>
      </w:r>
      <w:r>
        <w:rPr>
          <w:lang w:val="en-BE" w:eastAsia="en-BE" w:bidi="ar-SA"/>
        </w:rPr>
        <w:t xml:space="preserve">ным имуществом по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задолженность по кредитной карте в размере </w:t>
      </w:r>
      <w:r>
        <w:rPr>
          <w:rStyle w:val="cat-Sumgrp-9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сумме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за счет наследственного имущества </w:t>
      </w:r>
      <w:r>
        <w:rPr>
          <w:rStyle w:val="cat-FIOgrp-6rplc-14"/>
          <w:lang w:val="en-BE" w:eastAsia="en-BE" w:bidi="ar-SA"/>
        </w:rPr>
        <w:t>фио</w:t>
      </w:r>
      <w:r>
        <w:rPr>
          <w:lang w:val="en-BE" w:eastAsia="en-BE" w:bidi="ar-SA"/>
        </w:rPr>
        <w:t>, умершего 01 июня 2021.</w:t>
      </w:r>
    </w:p>
    <w:p w14:paraId="55A5016E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</w:t>
      </w:r>
      <w:r>
        <w:rPr>
          <w:lang w:val="en-BE" w:eastAsia="en-BE" w:bidi="ar-SA"/>
        </w:rPr>
        <w:t xml:space="preserve">ате, месте и времени судебного заседания извещен надлежащим образом, ходатайствовал о рассмотрении дела в его отсутствие. </w:t>
      </w:r>
    </w:p>
    <w:p w14:paraId="3634C54F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0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судебн</w:t>
      </w:r>
      <w:r>
        <w:rPr>
          <w:lang w:val="en-BE" w:eastAsia="en-BE" w:bidi="ar-SA"/>
        </w:rPr>
        <w:t>ое заседание не явился, о дате судебного заседания надлежащим образом извещен.</w:t>
      </w:r>
    </w:p>
    <w:p w14:paraId="21823434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материалы дела, оценив доказательства в совокупности, приходит к следующему.</w:t>
      </w:r>
    </w:p>
    <w:p w14:paraId="1B1973D4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 ГК РФ, по кредитному договору банк или иная кредитная ор</w:t>
      </w:r>
      <w:r>
        <w:rPr>
          <w:lang w:val="en-BE" w:eastAsia="en-BE" w:bidi="ar-SA"/>
        </w:rPr>
        <w:t>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A7D43B0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</w:t>
      </w:r>
      <w:r>
        <w:rPr>
          <w:lang w:val="en-BE" w:eastAsia="en-BE" w:bidi="ar-SA"/>
        </w:rPr>
        <w:t>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729A8F33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 (ст.310 ГК РФ).</w:t>
      </w:r>
    </w:p>
    <w:p w14:paraId="2E7496AF" w14:textId="77777777" w:rsidR="00000000" w:rsidRDefault="005821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соответствии со ст. 809 ГК РФ, если иное не предусмотрено законом или договором займа, </w:t>
      </w:r>
      <w:r>
        <w:rPr>
          <w:lang w:val="en-BE" w:eastAsia="en-BE" w:bidi="ar-SA"/>
        </w:rPr>
        <w:t>займодавец имеет право на получение с заемщика процентов на сумму займа в размерах и в порядке, определенных договором.</w:t>
      </w:r>
    </w:p>
    <w:p w14:paraId="49C5747E" w14:textId="77777777" w:rsidR="00000000" w:rsidRDefault="0058210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ст.329 ГК РФ, исполнение обязательств может обеспечиваться неустойкой, залогом, удержанием имущества должника, поручительст</w:t>
      </w:r>
      <w:r>
        <w:rPr>
          <w:lang w:val="en-BE" w:eastAsia="en-BE" w:bidi="ar-SA"/>
        </w:rPr>
        <w:t>вом, банковской гарантией, задатком и другими способами, предусмотренными законом или договором.</w:t>
      </w:r>
    </w:p>
    <w:p w14:paraId="3712D31A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установлено судом и усматривается из материалов дела, 17 февраля 2020 между Публичным акционерным обществом «Сбербанк России» в лице филиала - Московского </w:t>
      </w:r>
      <w:r>
        <w:rPr>
          <w:lang w:val="en-BE" w:eastAsia="en-BE" w:bidi="ar-SA"/>
        </w:rPr>
        <w:t xml:space="preserve">банка ПАО Сбербанк и </w:t>
      </w:r>
      <w:r>
        <w:rPr>
          <w:rStyle w:val="cat-FIOgrp-5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договор (эмиссионный контракт) № 0910-Р-15377377600 на предоставление ответчику возобновляемой кредитной линии посредством выдачи ответчику банковской карты с предоставлением по ней кредита и обслуживанием счета по дан</w:t>
      </w:r>
      <w:r>
        <w:rPr>
          <w:lang w:val="en-BE" w:eastAsia="en-BE" w:bidi="ar-SA"/>
        </w:rPr>
        <w:t>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карты, Индивидуальных условий выпуска и обслуживания кредитной карты Банка и ознакомления его с Условиями в</w:t>
      </w:r>
      <w:r>
        <w:rPr>
          <w:lang w:val="en-BE" w:eastAsia="en-BE" w:bidi="ar-SA"/>
        </w:rPr>
        <w:t>ыпуска и обслуживания кредитной карты Сбербанка России, Тарифами Сбербанка и Памяткой Держателя международных банковских карт, то есть является договором присоединения (ст.428 ГК РФ).</w:t>
      </w:r>
    </w:p>
    <w:p w14:paraId="6839514D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договора ответчику была выдана кредитная карта с лимитом к</w:t>
      </w:r>
      <w:r>
        <w:rPr>
          <w:lang w:val="en-BE" w:eastAsia="en-BE" w:bidi="ar-SA"/>
        </w:rPr>
        <w:t>редита, условия предоставления и возврата кредита по которой изложены в Условиях и Тарифах Сбербанка. Также ответчику был открыт счет для отражения операций, производимых с использованием международной кредитной карты.</w:t>
      </w:r>
    </w:p>
    <w:p w14:paraId="79F0F466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Условиями, операции,</w:t>
      </w:r>
      <w:r>
        <w:rPr>
          <w:lang w:val="en-BE" w:eastAsia="en-BE" w:bidi="ar-SA"/>
        </w:rPr>
        <w:t xml:space="preserve"> совершенные с использованием карт, относятся на счет карты и оплачиваются за счет кредита, предоставленного держателю с одновременным уменьшением доступного лимита. </w:t>
      </w:r>
    </w:p>
    <w:p w14:paraId="2BDCEFCE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Кредит был предоставлен ответчику в размере кредитного лимита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23.9 % годовых на</w:t>
      </w:r>
      <w:r>
        <w:rPr>
          <w:lang w:val="en-BE" w:eastAsia="en-BE" w:bidi="ar-SA"/>
        </w:rPr>
        <w:t xml:space="preserve"> условиях, определенных Тарифами банка. </w:t>
      </w:r>
    </w:p>
    <w:p w14:paraId="55E88A53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Условий выпуска и обслуживания кредитной карты Сбербанка размер лимита кредита по указанной карте был увеличен Банком.</w:t>
      </w:r>
    </w:p>
    <w:p w14:paraId="550F7FD9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Индивидуальных условий, погашение кредита и уплата процентов за его исполь</w:t>
      </w:r>
      <w:r>
        <w:rPr>
          <w:lang w:val="en-BE" w:eastAsia="en-BE" w:bidi="ar-SA"/>
        </w:rPr>
        <w:t>зование осуществляется ежемесячно по частям (оплата обязательного платежа) либо полностью (оплата сумма общей задолженности) в соответствии с информацией, указанной в отчете, путем пополнения счета карты.</w:t>
      </w:r>
    </w:p>
    <w:p w14:paraId="4EA87EAC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Индивидуальными условиями предусмотрено, что за нес</w:t>
      </w:r>
      <w:r>
        <w:rPr>
          <w:lang w:val="en-BE" w:eastAsia="en-BE" w:bidi="ar-SA"/>
        </w:rPr>
        <w:t>воевременное погашение обязательных платежей взимается неустойка в соответствии с Тарифами Банка.</w:t>
      </w:r>
    </w:p>
    <w:p w14:paraId="31107A55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неисполнения </w:t>
      </w:r>
      <w:r>
        <w:rPr>
          <w:rStyle w:val="cat-FIOgrp-5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условий договора на предоставление возобновляемой кредитной линии посредством выдачи ему кредитной карты, подтверждается представленным </w:t>
      </w:r>
      <w:r>
        <w:rPr>
          <w:lang w:val="en-BE" w:eastAsia="en-BE" w:bidi="ar-SA"/>
        </w:rPr>
        <w:t xml:space="preserve">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составляет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просроченный основной долг –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3rplc-21"/>
          <w:lang w:val="en-BE" w:eastAsia="en-BE" w:bidi="ar-SA"/>
        </w:rPr>
        <w:t>су</w:t>
      </w:r>
      <w:r>
        <w:rPr>
          <w:rStyle w:val="cat-Sumgrp-13rplc-21"/>
          <w:lang w:val="en-BE" w:eastAsia="en-BE" w:bidi="ar-SA"/>
        </w:rPr>
        <w:t>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2"/>
          <w:lang w:val="en-BE" w:eastAsia="en-BE" w:bidi="ar-SA"/>
        </w:rPr>
        <w:t>сумма</w:t>
      </w:r>
    </w:p>
    <w:p w14:paraId="6031CD4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719D9BD9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01 июня 2021 </w:t>
      </w:r>
      <w:r>
        <w:rPr>
          <w:rStyle w:val="cat-FIOgrp-5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умер.</w:t>
      </w:r>
    </w:p>
    <w:p w14:paraId="4670B95C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реестру наследственных дел, наследственное дело к имуществу умершего </w:t>
      </w:r>
      <w:r>
        <w:rPr>
          <w:rStyle w:val="cat-FIOgrp-6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не открывалос</w:t>
      </w:r>
      <w:r>
        <w:rPr>
          <w:lang w:val="en-BE" w:eastAsia="en-BE" w:bidi="ar-SA"/>
        </w:rPr>
        <w:t xml:space="preserve">ь. Иных наследственных дел в реестре наследственных дел нет. </w:t>
      </w:r>
    </w:p>
    <w:p w14:paraId="6D83DD0E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 w14:paraId="76C44BB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Каждый из наследников отвечает по долгам наследодателя в предела</w:t>
      </w:r>
      <w:r>
        <w:rPr>
          <w:lang w:val="en-BE" w:eastAsia="en-BE" w:bidi="ar-SA"/>
        </w:rPr>
        <w:t>х стоимости перешедшего к нему наследственного имущества.</w:t>
      </w:r>
    </w:p>
    <w:p w14:paraId="639A49A1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</w:t>
      </w:r>
      <w:r>
        <w:rPr>
          <w:lang w:val="en-BE" w:eastAsia="en-BE" w:bidi="ar-SA"/>
        </w:rPr>
        <w:t>адлежало и не отвечает этим имуществом по долгам наследника, от которого к нему перешло право на принятие наследства.</w:t>
      </w:r>
    </w:p>
    <w:p w14:paraId="310799B4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давности, установле</w:t>
      </w:r>
      <w:r>
        <w:rPr>
          <w:lang w:val="en-BE" w:eastAsia="en-BE" w:bidi="ar-SA"/>
        </w:rPr>
        <w:t xml:space="preserve">нных для соответствующих требований. </w:t>
      </w:r>
    </w:p>
    <w:p w14:paraId="0BA05DA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2236235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последнем случае суд приостанавливает рассмотрение дела до принятия наследства наследниками</w:t>
      </w:r>
      <w:r>
        <w:rPr>
          <w:lang w:val="en-BE" w:eastAsia="en-BE" w:bidi="ar-SA"/>
        </w:rPr>
        <w:t xml:space="preserve">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11F69F9E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предъявлении требований кредиторами наследодателя срок исковой давности, установ</w:t>
      </w:r>
      <w:r>
        <w:rPr>
          <w:lang w:val="en-BE" w:eastAsia="en-BE" w:bidi="ar-SA"/>
        </w:rPr>
        <w:t>ленный для соответствующих требований, не подлежит перерыву, приостановлению и восстановлению.</w:t>
      </w:r>
    </w:p>
    <w:p w14:paraId="3D56302A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1151 ГК РФ в случае, если отсутствуют наследники как по закону, так и по завещанию, либо никто из наследников не имеет права наследовать ил</w:t>
      </w:r>
      <w:r>
        <w:rPr>
          <w:lang w:val="en-BE" w:eastAsia="en-BE" w:bidi="ar-SA"/>
        </w:rPr>
        <w:t>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имущество</w:t>
      </w:r>
      <w:r>
        <w:rPr>
          <w:lang w:val="en-BE" w:eastAsia="en-BE" w:bidi="ar-SA"/>
        </w:rPr>
        <w:t xml:space="preserve"> умершего считается выморочным. </w:t>
      </w:r>
    </w:p>
    <w:p w14:paraId="2E8284D7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соо</w:t>
      </w:r>
      <w:r>
        <w:rPr>
          <w:lang w:val="en-BE" w:eastAsia="en-BE" w:bidi="ar-SA"/>
        </w:rPr>
        <w:t>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на указанные в абзацах втором и третьем настоящего пункта объекты нед</w:t>
      </w:r>
      <w:r>
        <w:rPr>
          <w:lang w:val="en-BE" w:eastAsia="en-BE" w:bidi="ar-SA"/>
        </w:rPr>
        <w:t>вижимого имущества.</w:t>
      </w:r>
    </w:p>
    <w:p w14:paraId="602EEDD1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 Севастополе, они переходят в собственность такого субъекта Российской Федерации.</w:t>
      </w:r>
    </w:p>
    <w:p w14:paraId="0366503C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Жилое помещение, указанное в</w:t>
      </w:r>
      <w:r>
        <w:rPr>
          <w:lang w:val="en-BE" w:eastAsia="en-BE" w:bidi="ar-SA"/>
        </w:rPr>
        <w:t xml:space="preserve"> абзаце втором настоящего пункта, включается в соответствующий жилищный фонд социального использования.</w:t>
      </w:r>
    </w:p>
    <w:p w14:paraId="0720B11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Иное выморочное имущество переходит в порядке наследования по закону в собственность Российской Федерации.</w:t>
      </w:r>
    </w:p>
    <w:p w14:paraId="0C36880A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наследования и учета выморочного имущ</w:t>
      </w:r>
      <w:r>
        <w:rPr>
          <w:lang w:val="en-BE" w:eastAsia="en-BE" w:bidi="ar-SA"/>
        </w:rPr>
        <w:t>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 w14:paraId="230DA274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1 ст. 1157 </w:t>
      </w:r>
      <w:r>
        <w:rPr>
          <w:lang w:val="en-BE" w:eastAsia="en-BE" w:bidi="ar-SA"/>
        </w:rPr>
        <w:t>ГК РФ при наследовании выморочного имущества отказ от наследства не допускается.</w:t>
      </w:r>
    </w:p>
    <w:p w14:paraId="5D1E062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 </w:t>
      </w:r>
    </w:p>
    <w:p w14:paraId="63DF8B24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Принятое </w:t>
      </w:r>
      <w:r>
        <w:rPr>
          <w:lang w:val="en-BE" w:eastAsia="en-BE" w:bidi="ar-SA"/>
        </w:rPr>
        <w:t>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 го</w:t>
      </w:r>
      <w:r>
        <w:rPr>
          <w:lang w:val="en-BE" w:eastAsia="en-BE" w:bidi="ar-SA"/>
        </w:rPr>
        <w:t>сударственной регистрации.</w:t>
      </w:r>
    </w:p>
    <w:p w14:paraId="11E9D705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допуска</w:t>
      </w:r>
      <w:r>
        <w:rPr>
          <w:lang w:val="en-BE" w:eastAsia="en-BE" w:bidi="ar-SA"/>
        </w:rPr>
        <w:t>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расположенног</w:t>
      </w:r>
      <w:r>
        <w:rPr>
          <w:lang w:val="en-BE" w:eastAsia="en-BE" w:bidi="ar-SA"/>
        </w:rPr>
        <w:t>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регист</w:t>
      </w:r>
      <w:r>
        <w:rPr>
          <w:lang w:val="en-BE" w:eastAsia="en-BE" w:bidi="ar-SA"/>
        </w:rPr>
        <w:t>рации.</w:t>
      </w:r>
    </w:p>
    <w:p w14:paraId="52EAA6B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 в насто</w:t>
      </w:r>
      <w:r>
        <w:rPr>
          <w:lang w:val="en-BE" w:eastAsia="en-BE" w:bidi="ar-SA"/>
        </w:rPr>
        <w:t>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0F0ABAC3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34 Постановления Пленума Верховного Суда Российской Федерации от 29.05.2012 г. № 9 «О су</w:t>
      </w:r>
      <w:r>
        <w:rPr>
          <w:lang w:val="en-BE" w:eastAsia="en-BE" w:bidi="ar-SA"/>
        </w:rPr>
        <w:t>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наследства</w:t>
      </w:r>
      <w:r>
        <w:rPr>
          <w:lang w:val="en-BE" w:eastAsia="en-BE" w:bidi="ar-SA"/>
        </w:rPr>
        <w:t xml:space="preserve">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29AB7D1E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Неполучение свидетельства о праве на наследство не освобождает наследников, приобретших наследство, в том чис</w:t>
      </w:r>
      <w:r>
        <w:rPr>
          <w:lang w:val="en-BE" w:eastAsia="en-BE" w:bidi="ar-SA"/>
        </w:rPr>
        <w:t>ле при наследовании 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№ 9 «</w:t>
      </w:r>
      <w:r>
        <w:rPr>
          <w:lang w:val="en-BE" w:eastAsia="en-BE" w:bidi="ar-SA"/>
        </w:rPr>
        <w:t>О судебной практике по делам о наследовании»).</w:t>
      </w:r>
    </w:p>
    <w:p w14:paraId="32EBBD2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выписки из ЕГРП видно, что </w:t>
      </w:r>
      <w:r>
        <w:rPr>
          <w:rStyle w:val="cat-FIOgrp-5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являлся правообладателем квартиры находящейся по адресу </w:t>
      </w:r>
      <w:r>
        <w:rPr>
          <w:rStyle w:val="cat-Addressgrp-1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кадастровый номер 77:07:0015003:25332. 07 июня 2021 в Едином государственном реестре недвижимости о переходе прав</w:t>
      </w:r>
      <w:r>
        <w:rPr>
          <w:lang w:val="en-BE" w:eastAsia="en-BE" w:bidi="ar-SA"/>
        </w:rPr>
        <w:t xml:space="preserve"> на объект недвижимости зарегистрирован Договор дарения квартиры на основании которого прекращено право собственности на квартиру находящуюся по адресу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кадастровый номер 77:07:0015003:25332.</w:t>
      </w:r>
    </w:p>
    <w:p w14:paraId="18C4E939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ответа ГУ МВД России по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усматривается, что согласн</w:t>
      </w:r>
      <w:r>
        <w:rPr>
          <w:lang w:val="en-BE" w:eastAsia="en-BE" w:bidi="ar-SA"/>
        </w:rPr>
        <w:t xml:space="preserve">о базе данных ФИС ГИБДД-М, в ГИБДД по </w:t>
      </w:r>
      <w:r>
        <w:rPr>
          <w:rStyle w:val="cat-Addressgrp-0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</w:t>
      </w:r>
      <w:r>
        <w:rPr>
          <w:rStyle w:val="cat-FIOgrp-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18rplc-3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по состоянию на дату смерти были зарегистрировано транспортное средство: </w:t>
      </w:r>
      <w:r>
        <w:rPr>
          <w:rStyle w:val="cat-CarMakeModelgrp-20rplc-32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1999 года выпуска, VIN </w:t>
      </w:r>
      <w:r>
        <w:rPr>
          <w:rStyle w:val="cat-VINgrp-19rplc-33"/>
          <w:lang w:val="en-BE" w:eastAsia="en-BE" w:bidi="ar-SA"/>
        </w:rPr>
        <w:t>VIN-код</w:t>
      </w:r>
      <w:r>
        <w:rPr>
          <w:lang w:val="en-BE" w:eastAsia="en-BE" w:bidi="ar-SA"/>
        </w:rPr>
        <w:t xml:space="preserve">. </w:t>
      </w:r>
    </w:p>
    <w:p w14:paraId="5533F7F0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информации, представленной Банком, на счетах в ПАО «</w:t>
      </w:r>
      <w:r>
        <w:rPr>
          <w:lang w:val="en-BE" w:eastAsia="en-BE" w:bidi="ar-SA"/>
        </w:rPr>
        <w:t xml:space="preserve">Сбербанк», открытых на имя </w:t>
      </w:r>
      <w:r>
        <w:rPr>
          <w:rStyle w:val="cat-FIOgrp-6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, имелись остатки денежных средств в размере </w:t>
      </w:r>
      <w:r>
        <w:rPr>
          <w:rStyle w:val="cat-Sumgrp-15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счет №40817810338185712233; в размере </w:t>
      </w:r>
      <w:r>
        <w:rPr>
          <w:rStyle w:val="cat-Sumgrp-16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№40817810538182104615; в размере </w:t>
      </w:r>
      <w:r>
        <w:rPr>
          <w:rStyle w:val="cat-Sumgrp-14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счет №42307810538182109791.</w:t>
      </w:r>
    </w:p>
    <w:p w14:paraId="45BB8FEC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Иного имущества судом не выявлено.</w:t>
      </w:r>
    </w:p>
    <w:p w14:paraId="478D337D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состав наследств</w:t>
      </w:r>
      <w:r>
        <w:rPr>
          <w:lang w:val="en-BE" w:eastAsia="en-BE" w:bidi="ar-SA"/>
        </w:rPr>
        <w:t xml:space="preserve">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17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имеющаяся на счетах, открытых на имя </w:t>
      </w:r>
      <w:r>
        <w:rPr>
          <w:rStyle w:val="cat-FIOgrp-6rplc-39"/>
          <w:lang w:val="en-BE" w:eastAsia="en-BE" w:bidi="ar-SA"/>
        </w:rPr>
        <w:t>фио</w:t>
      </w:r>
      <w:r>
        <w:rPr>
          <w:lang w:val="en-BE" w:eastAsia="en-BE" w:bidi="ar-SA"/>
        </w:rPr>
        <w:t>, входит в состав общей суммы задолженности, а наследни</w:t>
      </w:r>
      <w:r>
        <w:rPr>
          <w:lang w:val="en-BE" w:eastAsia="en-BE" w:bidi="ar-SA"/>
        </w:rPr>
        <w:t xml:space="preserve">ком выморочного имущества в силу действующего законодательства является Территориальное управление Федерального агентства по управлению государственным имуществом по </w:t>
      </w:r>
      <w:r>
        <w:rPr>
          <w:rStyle w:val="cat-Addressgrp-0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задолженности по банковской карте в общей сумме </w:t>
      </w:r>
      <w:r>
        <w:rPr>
          <w:rStyle w:val="cat-Sumgrp-17rplc-41"/>
          <w:lang w:val="en-BE" w:eastAsia="en-BE" w:bidi="ar-SA"/>
        </w:rPr>
        <w:t>сумма</w:t>
      </w:r>
    </w:p>
    <w:p w14:paraId="0EFD2BB0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оснований для в</w:t>
      </w:r>
      <w:r>
        <w:rPr>
          <w:lang w:val="en-BE" w:eastAsia="en-BE" w:bidi="ar-SA"/>
        </w:rPr>
        <w:t xml:space="preserve">зыскания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общей сумме всей задолженности по кредитному договору не имеется.</w:t>
      </w:r>
    </w:p>
    <w:p w14:paraId="2181BA4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08D4309B" w14:textId="77777777" w:rsidR="00000000" w:rsidRDefault="00582100">
      <w:pPr>
        <w:ind w:firstLine="851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14:paraId="4F59529F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удовлетво</w:t>
      </w:r>
      <w:r>
        <w:rPr>
          <w:lang w:val="en-BE" w:eastAsia="en-BE" w:bidi="ar-SA"/>
        </w:rPr>
        <w:t>рить частично.</w:t>
      </w:r>
    </w:p>
    <w:p w14:paraId="30C36CF6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Признать выморочным имуществом денежные средства, находящиеся на счетах №40817810338185712233, №40817810538182104615, №42307810538182109791 в Публичном акционерном обществе «Сбербанк России» открытых на имя </w:t>
      </w:r>
      <w:r>
        <w:rPr>
          <w:rStyle w:val="cat-FIOgrp-4rplc-44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5437F2FB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Признать право собственности </w:t>
      </w:r>
      <w:r>
        <w:rPr>
          <w:lang w:val="en-BE" w:eastAsia="en-BE" w:bidi="ar-SA"/>
        </w:rPr>
        <w:t xml:space="preserve">Территориального управления Федерального агентства по управлению государственным имуществом по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денежные средства, находящиеся на счетах №40817810338185712233, №40817810538182104615, №42307810538182109791 в Публичном акционерном обществе «Сбербанк </w:t>
      </w:r>
      <w:r>
        <w:rPr>
          <w:lang w:val="en-BE" w:eastAsia="en-BE" w:bidi="ar-SA"/>
        </w:rPr>
        <w:t>России».</w:t>
      </w:r>
    </w:p>
    <w:p w14:paraId="01716A51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пользу Публичного акционерного общества «Сбербанк России» в лице филиала – Московского банка ПАО Сбербанк задолженность по договору в</w:t>
      </w:r>
      <w:r>
        <w:rPr>
          <w:lang w:val="en-BE" w:eastAsia="en-BE" w:bidi="ar-SA"/>
        </w:rPr>
        <w:t xml:space="preserve"> размере </w:t>
      </w:r>
      <w:r>
        <w:rPr>
          <w:rStyle w:val="cat-Sumgrp-17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обратив взыскание на денежные средства находящиеся на счетах  №40817810338185712233, №40817810538182104615, №42307810538182109791 в Публичном акционерном обществе «Сбербанк России».</w:t>
      </w:r>
    </w:p>
    <w:p w14:paraId="770864D0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Обязать ИФНС России №8 по </w:t>
      </w:r>
      <w:r>
        <w:rPr>
          <w:rStyle w:val="cat-Addressgrp-0rplc-4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возвратить Публичному акцио</w:t>
      </w:r>
      <w:r>
        <w:rPr>
          <w:lang w:val="en-BE" w:eastAsia="en-BE" w:bidi="ar-SA"/>
        </w:rPr>
        <w:t xml:space="preserve">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0rplc-49"/>
          <w:lang w:val="en-BE" w:eastAsia="en-BE" w:bidi="ar-SA"/>
        </w:rPr>
        <w:t>сумма</w:t>
      </w:r>
      <w:r>
        <w:rPr>
          <w:lang w:val="en-BE" w:eastAsia="en-BE" w:bidi="ar-SA"/>
        </w:rPr>
        <w:t>, уплаченную по платёжному поручению № 446816 от 31.03.2022 г.</w:t>
      </w:r>
    </w:p>
    <w:p w14:paraId="18107308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остальных требований Публичного акционерного общес</w:t>
      </w:r>
      <w:r>
        <w:rPr>
          <w:lang w:val="en-BE" w:eastAsia="en-BE" w:bidi="ar-SA"/>
        </w:rPr>
        <w:t xml:space="preserve">тва «Сбербанк России» в лице филиала – Московского банка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взыскании задолженности отказать.</w:t>
      </w:r>
    </w:p>
    <w:p w14:paraId="4A19B579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</w:t>
      </w:r>
      <w:r>
        <w:rPr>
          <w:lang w:val="en-BE" w:eastAsia="en-BE" w:bidi="ar-SA"/>
        </w:rPr>
        <w:t xml:space="preserve">орядке в Московский городской суд через Мещанский районный суд </w:t>
      </w:r>
      <w:r>
        <w:rPr>
          <w:rStyle w:val="cat-Addressgrp-0rplc-5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его принятия в окончательной форме. </w:t>
      </w:r>
    </w:p>
    <w:p w14:paraId="5753CC4E" w14:textId="77777777" w:rsidR="00000000" w:rsidRDefault="00582100">
      <w:pPr>
        <w:ind w:firstLine="851"/>
        <w:jc w:val="both"/>
        <w:rPr>
          <w:lang w:val="en-BE" w:eastAsia="en-BE" w:bidi="ar-SA"/>
        </w:rPr>
      </w:pPr>
    </w:p>
    <w:p w14:paraId="44D1B503" w14:textId="77777777" w:rsidR="00000000" w:rsidRDefault="00582100">
      <w:pPr>
        <w:ind w:firstLine="851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А.Д. Городилов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99823" w14:textId="77777777" w:rsidR="00000000" w:rsidRDefault="00582100">
      <w:r>
        <w:separator/>
      </w:r>
    </w:p>
  </w:endnote>
  <w:endnote w:type="continuationSeparator" w:id="0">
    <w:p w14:paraId="0B0A70E0" w14:textId="77777777" w:rsidR="00000000" w:rsidRDefault="0058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656C8" w14:textId="77777777" w:rsidR="00000000" w:rsidRDefault="00582100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A046A" w14:textId="77777777" w:rsidR="00000000" w:rsidRDefault="00582100">
      <w:r>
        <w:separator/>
      </w:r>
    </w:p>
  </w:footnote>
  <w:footnote w:type="continuationSeparator" w:id="0">
    <w:p w14:paraId="1835AAA1" w14:textId="77777777" w:rsidR="00000000" w:rsidRDefault="00582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100"/>
    <w:rsid w:val="005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61B1D86"/>
  <w15:chartTrackingRefBased/>
  <w15:docId w15:val="{3891129B-9C0F-4561-9E6D-563DB780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7">
    <w:name w:val="cat-FIO grp-5 rplc-7"/>
    <w:basedOn w:val="a0"/>
  </w:style>
  <w:style w:type="character" w:customStyle="1" w:styleId="cat-Sumgrp-8rplc-8">
    <w:name w:val="cat-Sum grp-8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9rplc-12">
    <w:name w:val="cat-Sum grp-9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FIOgrp-6rplc-14">
    <w:name w:val="cat-FIO grp-6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FIOgrp-5rplc-18">
    <w:name w:val="cat-FIO grp-5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Sumgrp-14rplc-22">
    <w:name w:val="cat-Sum grp-14 rplc-22"/>
    <w:basedOn w:val="a0"/>
  </w:style>
  <w:style w:type="character" w:customStyle="1" w:styleId="cat-FIOgrp-5rplc-23">
    <w:name w:val="cat-FIO grp-5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FIOgrp-5rplc-25">
    <w:name w:val="cat-FIO grp-5 rplc-25"/>
    <w:basedOn w:val="a0"/>
  </w:style>
  <w:style w:type="character" w:customStyle="1" w:styleId="cat-Addressgrp-1rplc-26">
    <w:name w:val="cat-Address grp-1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Addressgrp-0rplc-29">
    <w:name w:val="cat-Address grp-0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PassportDatagrp-18rplc-31">
    <w:name w:val="cat-PassportData grp-18 rplc-31"/>
    <w:basedOn w:val="a0"/>
  </w:style>
  <w:style w:type="character" w:customStyle="1" w:styleId="cat-CarMakeModelgrp-20rplc-32">
    <w:name w:val="cat-CarMakeModel grp-20 rplc-32"/>
    <w:basedOn w:val="a0"/>
  </w:style>
  <w:style w:type="character" w:customStyle="1" w:styleId="cat-VINgrp-19rplc-33">
    <w:name w:val="cat-VIN grp-19 rplc-33"/>
    <w:basedOn w:val="a0"/>
  </w:style>
  <w:style w:type="character" w:customStyle="1" w:styleId="cat-FIOgrp-6rplc-34">
    <w:name w:val="cat-FIO grp-6 rplc-34"/>
    <w:basedOn w:val="a0"/>
  </w:style>
  <w:style w:type="character" w:customStyle="1" w:styleId="cat-Sumgrp-15rplc-35">
    <w:name w:val="cat-Sum grp-15 rplc-35"/>
    <w:basedOn w:val="a0"/>
  </w:style>
  <w:style w:type="character" w:customStyle="1" w:styleId="cat-Sumgrp-16rplc-36">
    <w:name w:val="cat-Sum grp-16 rplc-36"/>
    <w:basedOn w:val="a0"/>
  </w:style>
  <w:style w:type="character" w:customStyle="1" w:styleId="cat-Sumgrp-14rplc-37">
    <w:name w:val="cat-Sum grp-14 rplc-37"/>
    <w:basedOn w:val="a0"/>
  </w:style>
  <w:style w:type="character" w:customStyle="1" w:styleId="cat-Sumgrp-17rplc-38">
    <w:name w:val="cat-Sum grp-17 rplc-38"/>
    <w:basedOn w:val="a0"/>
  </w:style>
  <w:style w:type="character" w:customStyle="1" w:styleId="cat-FIOgrp-6rplc-39">
    <w:name w:val="cat-FIO grp-6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Sumgrp-17rplc-41">
    <w:name w:val="cat-Sum grp-17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FIOgrp-4rplc-44">
    <w:name w:val="cat-FIO grp-4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Sumgrp-17rplc-47">
    <w:name w:val="cat-Sum grp-17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Sumgrp-10rplc-49">
    <w:name w:val="cat-Sum grp-10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Addressgrp-0rplc-51">
    <w:name w:val="cat-Address grp-0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2354</Words>
  <Characters>13421</Characters>
  <Application>Microsoft Office Word</Application>
  <DocSecurity>0</DocSecurity>
  <Lines>111</Lines>
  <Paragraphs>31</Paragraphs>
  <ScaleCrop>false</ScaleCrop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