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2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 Ш Е Н И Е</w:t>
      </w:r>
    </w:p>
    <w:p>
      <w:pPr>
        <w:spacing w:before="0" w:after="200" w:line="276" w:lineRule="auto"/>
        <w:ind w:firstLine="72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декабря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2023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</w:t>
      </w:r>
      <w:r>
        <w:rPr>
          <w:rStyle w:val="cat-Addressgrp-0rplc-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Хорошевский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составе председательствующего судьи Леденевой Е.В., при секретаре </w:t>
      </w:r>
      <w:r>
        <w:rPr>
          <w:rStyle w:val="cat-FIOgrp-4rplc-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8083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/23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77RS0031-02-2023-010641-75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-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Майе Александровне о взыскании денежных средств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20"/>
        <w:jc w:val="center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Истец, в лице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«Сбербанк»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 ответчику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котором просит взыскать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задолженность по договору № 123/12/ЦА от 30.09.2021 в размере </w:t>
      </w:r>
      <w:r>
        <w:rPr>
          <w:rStyle w:val="cat-Sumgrp-10rplc-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также расходы по оплате государственной пошлины в размере </w:t>
      </w:r>
      <w:r>
        <w:rPr>
          <w:rStyle w:val="cat-Sumgrp-11rplc-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мотивированы тем, что 03.09.2020 между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и ПАО Сбербанк был заключен трудовой договор № 6458 на должность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аджайл-коуч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30.09.2021 между банком и работником был заключен договор № 123/12/ЦА о взаимных обязательствах банка и работника ПАО Сбербанк, направленного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обучение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 программе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«Сбербанк Мини-МВА».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условиями соглашения об обучении банк обязуется оплатить обучение работника по программе «Сбербанк Мини-МВА», реализуемой </w:t>
      </w:r>
      <w:r>
        <w:rPr>
          <w:rStyle w:val="cat-FIOgrp-6rplc-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«Корпоративный университет Сбербанка», а работник обязуется пройти обучение по программе и выполнить взятые на себя обязательства в соответствии с условиями договора и правилами обучения, отработать в банке в течение срока, установленного договором.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Банк исполнил обязательства по оплате обучения в полном объеме в размере </w:t>
      </w:r>
      <w:r>
        <w:rPr>
          <w:rStyle w:val="cat-Sumgrp-12rplc-1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однако ответчик не исполнил свои обязательства, 09.01.2023 уволившись по собственному желанию. В связи с указанным у ответчика возникла задолженность в размере </w:t>
      </w:r>
      <w:r>
        <w:rPr>
          <w:rStyle w:val="cat-Sumgrp-10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Истцом в адрес ответчика было направлено требование, которое последним оставлено без удовлетворения.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истца ПАО «Сбербанк»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доверенности </w:t>
      </w:r>
      <w:r>
        <w:rPr>
          <w:rStyle w:val="cat-FIOgrp-7rplc-1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явилась, исковые требования поддержала в полном объеме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в судебное заседание не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извещен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надлежащим образом, своих возражений относительно рассмотрения дела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отсутствие и по существу исковых требований не представил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Дело рассмотрено по правилам ст.167 ГПК РФ при данной явке.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выслушав представителя истца,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проверив материалы дела,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приходит к следующему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207 ТК РФ в случае, если ученик по окончании ученичества без уважительных причин не выполняет свои обязательства по договору, в том числе не приступает к работе, он по требованию работодателя возвращает ему полученную за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время ученичества стипендию, а также возмещает другие понесенные работодателем расходы в связи с ученичеством.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249 ТК РФ, в случае увольнения без уважительных причин до истечения срока, обусловленного трудовым договором или соглашением об обучении за счет средств работодателя, работник обязан возместить затраты,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понесены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работодателем на его обучение, исчисленные пропорционально фактически не отработанному после окончания обучения времени, если иное не предусмотрено трудовым договором или соглашением об обучении.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Как установлено в судебном заседании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 следует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 материалов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03.09.2020 между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и ПАО Сбербанк был заключен трудовой договор № 6458 на должность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аджайл-коуч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30.09.2021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между банком и работником был заключен договор № 123/12/ЦА о взаимных обязательствах банка и работника ПАО Сбербанк, направленного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обучение по программе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«Сбербанк Мини-МВА».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условиями соглашения об обучении банк обязуется оплатить обучение работника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 программе «Сбербанк Мини-МВА»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реализуемой </w:t>
      </w:r>
      <w:r>
        <w:rPr>
          <w:rStyle w:val="cat-FIOgrp-6rplc-1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«Корпоративный университет Сбербанка», а работник обязуется пройти обучение по программе и выполнить взятые на себя обязательства в соответствии с условиями договора и правилами обучения, отработать в банке в течение срока, установленного договором.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пунктам 1.2, 2.1 Соглашения об обучении, общий размер оплаты за обучение работника составил </w:t>
      </w:r>
      <w:r>
        <w:rPr>
          <w:rStyle w:val="cat-Sumgrp-12rplc-1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том числе 1 очный модуль (с 18.10.2021 по 23.10.2021)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13rplc-1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2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дистанционный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модуль (с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.2022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26.03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.2022)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14rplc-1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3 очный модуль (с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.2022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.2022)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15rplc-1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Срок окончания обучения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25 августа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2022 года.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АО Сбербанк оплатил прохождение обучения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М.А., что подтверждается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платежными поручениями от 15.10.2021 №907139, от 15.02.2022 №896912, от 02.09.2022 №61310.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прошла обучение по программе «Сбербанк Мини-МВА» с 18.10.2021 по 25.08.2022, что подтверждается приказом от 18.10.2021 о зачислении на обучение, приказом от 25.08.2022 об отчислении слушателей, 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сдачи-приемки оказанных услуг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30.11.2021,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31.03.2022, от 30.06.2022, письмом от 07.06.2023 №219-исх/100.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09.01.2023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был издан Приказ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64368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прекращении трудового договора с работником по инициативе работника (п. 3 ч. 1 ст. 77 ТК РФ).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пункту 1.1 соглашения об обучении работник обязуется пройти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обучение по программе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выполнить взятые на себя обязательства в соответствии с условиями договора и правилами обучения, отработать в банке в течение срока, установленного договором.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пунктам 4.1.5 соглашения об обучении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после завершения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обучения по программе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работник обязуется осуществлять трудовую деятельность в банке в течение 2 лет.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пунктам 1.2, 2.1 соглашения об обучении, общий размер оплаты за обучение работника составил </w:t>
      </w:r>
      <w:r>
        <w:rPr>
          <w:rStyle w:val="cat-Sumgrp-12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срок окончания обучения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2022 года.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пункту 4.1.12 соглашения об обучении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работник отчисляется из программы в случае его увольнения из банка (по основаниям, установленным п. 4.1.8 соглашения) до окончания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обучения по программе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пункту 4.1.7 соглашения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 обучении в случае увольнения без уважительных причин до истечения срока работы в банке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установленного пунктом 4.1.5 договора, работник обязан возместить затраты, понесенные работодателем на его обучение, исчисленные пропорционально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фактически отработанному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после окончания обучения времени в дату окончательного расчета при увольнении.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пункту п. 4.1.8 соглашения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увольнением без уважительных причин, в том числе, признается увольнение по инициативе работника (по собственному желанию).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Таким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образом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установлено,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возникла задолженность перед ПАО Сбербанк по оплате обучения в связи с невыполнением условий ученического договора, а именно: в связи с увольнением по инициативе работника до окончания обучения (ранее двух лет после завершения обучения).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Указанные обстоятельства ответчиком в установленном порядке не оспорены, в соответствии со ст. 56 ГПК РФ доказательств надлежащего исполнения обязательств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представлено, а потому в силу ст. ст. 309,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310 ГК РФ исковые требования о взыскании с ответчика задолженности признаются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обоснованными и подлежат удовлетворению.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представленному истцом расчету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подлежащая взысканию с ответчика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составляет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10rplc-2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из расчета: 594 дней (с 10.01.2023 до 25.08.2024) *</w:t>
      </w:r>
      <w:r>
        <w:rPr>
          <w:rStyle w:val="cat-Sumgrp-12rplc-2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(стоимость обучения)/731 день (с 26.08.2022 по 25.08.2024).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ч. 1 ст. 98 ГПК РФ с ответчика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истца подлежат взысканию понесенные истцом расходы по оплате государственной пошлины в размере </w:t>
      </w:r>
      <w:r>
        <w:rPr>
          <w:rStyle w:val="cat-Sumgrp-11rplc-2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2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194-198 ГПК РФ, суд</w:t>
      </w:r>
    </w:p>
    <w:p>
      <w:pPr>
        <w:spacing w:before="0" w:after="0"/>
        <w:ind w:firstLine="720"/>
        <w:jc w:val="center"/>
        <w:rPr>
          <w:sz w:val="26"/>
          <w:szCs w:val="26"/>
        </w:rPr>
      </w:pPr>
    </w:p>
    <w:p>
      <w:pPr>
        <w:spacing w:before="0" w:after="0"/>
        <w:ind w:firstLine="720"/>
        <w:jc w:val="center"/>
        <w:rPr>
          <w:sz w:val="26"/>
          <w:szCs w:val="26"/>
        </w:rPr>
      </w:pPr>
    </w:p>
    <w:p>
      <w:pPr>
        <w:spacing w:before="0" w:after="0"/>
        <w:ind w:firstLine="72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удовлетворить.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Гроо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Майи Александровн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паспорт 45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118 492304)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-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ИНН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7707083893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задолженность по договору № 123/12/ЦА от 30.09.2021 в размере </w:t>
      </w:r>
      <w:r>
        <w:rPr>
          <w:rStyle w:val="cat-Sumgrp-10rplc-2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также расходы по оплате государственной пошлины в размере </w:t>
      </w:r>
      <w:r>
        <w:rPr>
          <w:rStyle w:val="cat-Sumgrp-11rplc-3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Московский городской суд через Хорошевский районный суд </w:t>
      </w:r>
      <w:r>
        <w:rPr>
          <w:rStyle w:val="cat-Addressgrp-1rplc-3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течение одного месяца со дня принятия решения суда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</w:t>
      </w:r>
    </w:p>
    <w:p>
      <w:pPr>
        <w:spacing w:before="0" w:after="0"/>
        <w:ind w:firstLine="720"/>
        <w:rPr>
          <w:sz w:val="26"/>
          <w:szCs w:val="26"/>
        </w:rPr>
      </w:pPr>
    </w:p>
    <w:p>
      <w:pPr>
        <w:spacing w:before="0" w:after="0"/>
        <w:ind w:firstLine="720"/>
        <w:rPr>
          <w:sz w:val="26"/>
          <w:szCs w:val="26"/>
        </w:rPr>
      </w:pPr>
    </w:p>
    <w:p>
      <w:pPr>
        <w:spacing w:before="0" w:after="0"/>
        <w:ind w:firstLine="7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</w:t>
      </w:r>
      <w:r>
        <w:rPr>
          <w:rStyle w:val="cat-FIOgrp-9rplc-3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jc w:val="righ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 xml:space="preserve">Мотивированное решение 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изготовлено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02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.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0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.202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4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 xml:space="preserve"> года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10rplc-6">
    <w:name w:val="cat-Sum grp-10 rplc-6"/>
    <w:basedOn w:val="DefaultParagraphFont"/>
  </w:style>
  <w:style w:type="character" w:customStyle="1" w:styleId="cat-Sumgrp-11rplc-7">
    <w:name w:val="cat-Sum grp-11 rplc-7"/>
    <w:basedOn w:val="DefaultParagraphFont"/>
  </w:style>
  <w:style w:type="character" w:customStyle="1" w:styleId="cat-FIOgrp-6rplc-9">
    <w:name w:val="cat-FIO grp-6 rplc-9"/>
    <w:basedOn w:val="DefaultParagraphFont"/>
  </w:style>
  <w:style w:type="character" w:customStyle="1" w:styleId="cat-Sumgrp-12rplc-10">
    <w:name w:val="cat-Sum grp-12 rplc-10"/>
    <w:basedOn w:val="DefaultParagraphFont"/>
  </w:style>
  <w:style w:type="character" w:customStyle="1" w:styleId="cat-Sumgrp-10rplc-11">
    <w:name w:val="cat-Sum grp-10 rplc-11"/>
    <w:basedOn w:val="DefaultParagraphFont"/>
  </w:style>
  <w:style w:type="character" w:customStyle="1" w:styleId="cat-FIOgrp-7rplc-12">
    <w:name w:val="cat-FIO grp-7 rplc-12"/>
    <w:basedOn w:val="DefaultParagraphFont"/>
  </w:style>
  <w:style w:type="character" w:customStyle="1" w:styleId="cat-FIOgrp-6rplc-15">
    <w:name w:val="cat-FIO grp-6 rplc-15"/>
    <w:basedOn w:val="DefaultParagraphFont"/>
  </w:style>
  <w:style w:type="character" w:customStyle="1" w:styleId="cat-Sumgrp-12rplc-16">
    <w:name w:val="cat-Sum grp-12 rplc-16"/>
    <w:basedOn w:val="DefaultParagraphFont"/>
  </w:style>
  <w:style w:type="character" w:customStyle="1" w:styleId="cat-Sumgrp-13rplc-17">
    <w:name w:val="cat-Sum grp-13 rplc-17"/>
    <w:basedOn w:val="DefaultParagraphFont"/>
  </w:style>
  <w:style w:type="character" w:customStyle="1" w:styleId="cat-Sumgrp-14rplc-18">
    <w:name w:val="cat-Sum grp-14 rplc-18"/>
    <w:basedOn w:val="DefaultParagraphFont"/>
  </w:style>
  <w:style w:type="character" w:customStyle="1" w:styleId="cat-Sumgrp-15rplc-19">
    <w:name w:val="cat-Sum grp-15 rplc-19"/>
    <w:basedOn w:val="DefaultParagraphFont"/>
  </w:style>
  <w:style w:type="character" w:customStyle="1" w:styleId="cat-Sumgrp-12rplc-22">
    <w:name w:val="cat-Sum grp-12 rplc-22"/>
    <w:basedOn w:val="DefaultParagraphFont"/>
  </w:style>
  <w:style w:type="character" w:customStyle="1" w:styleId="cat-Sumgrp-10rplc-24">
    <w:name w:val="cat-Sum grp-10 rplc-24"/>
    <w:basedOn w:val="DefaultParagraphFont"/>
  </w:style>
  <w:style w:type="character" w:customStyle="1" w:styleId="cat-Sumgrp-12rplc-25">
    <w:name w:val="cat-Sum grp-12 rplc-25"/>
    <w:basedOn w:val="DefaultParagraphFont"/>
  </w:style>
  <w:style w:type="character" w:customStyle="1" w:styleId="cat-Sumgrp-11rplc-27">
    <w:name w:val="cat-Sum grp-11 rplc-27"/>
    <w:basedOn w:val="DefaultParagraphFont"/>
  </w:style>
  <w:style w:type="character" w:customStyle="1" w:styleId="cat-Sumgrp-10rplc-29">
    <w:name w:val="cat-Sum grp-10 rplc-29"/>
    <w:basedOn w:val="DefaultParagraphFont"/>
  </w:style>
  <w:style w:type="character" w:customStyle="1" w:styleId="cat-Sumgrp-11rplc-30">
    <w:name w:val="cat-Sum grp-11 rplc-30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FIOgrp-9rplc-32">
    <w:name w:val="cat-FIO grp-9 rplc-3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