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0658F12" w14:textId="77777777" w:rsidR="00000000" w:rsidRDefault="00407C1C">
      <w:pPr>
        <w:spacing w:line="240" w:lineRule="atLeast"/>
        <w:jc w:val="right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 xml:space="preserve">  </w:t>
      </w:r>
      <w:r>
        <w:rPr>
          <w:b/>
          <w:bCs/>
          <w:lang w:val="en-BE" w:eastAsia="en-BE" w:bidi="ar-SA"/>
        </w:rPr>
        <w:tab/>
        <w:t>Дело №11-128/2021</w:t>
      </w:r>
    </w:p>
    <w:p w14:paraId="732E6381" w14:textId="77777777" w:rsidR="00000000" w:rsidRDefault="00407C1C">
      <w:pPr>
        <w:spacing w:line="240" w:lineRule="atLeast"/>
        <w:rPr>
          <w:lang w:val="en-BE" w:eastAsia="en-BE" w:bidi="ar-SA"/>
        </w:rPr>
      </w:pPr>
    </w:p>
    <w:p w14:paraId="55AC2E05" w14:textId="77777777" w:rsidR="00000000" w:rsidRDefault="00407C1C">
      <w:pPr>
        <w:spacing w:line="240" w:lineRule="atLeast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А П Е Л Л Я Ц И О Н Н О Е</w:t>
      </w:r>
    </w:p>
    <w:p w14:paraId="496E4DDB" w14:textId="77777777" w:rsidR="00000000" w:rsidRDefault="00407C1C">
      <w:pPr>
        <w:spacing w:line="240" w:lineRule="atLeast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 П Р Е Д Е Л Е Н И Е</w:t>
      </w:r>
    </w:p>
    <w:p w14:paraId="27ADB4CF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</w:p>
    <w:p w14:paraId="4DFE3267" w14:textId="77777777" w:rsidR="00000000" w:rsidRDefault="00407C1C">
      <w:pPr>
        <w:spacing w:line="240" w:lineRule="atLeast"/>
        <w:ind w:left="50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27 августа 2021  года</w:t>
      </w:r>
    </w:p>
    <w:p w14:paraId="2BE08504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Перовский районный суд  города  Москвы </w:t>
      </w:r>
    </w:p>
    <w:p w14:paraId="5F5BBDFF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составе: председательствующего судьи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Ваньянц Л.Г.,</w:t>
      </w:r>
    </w:p>
    <w:p w14:paraId="5D94CDC8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секретаре                                                  Михе</w:t>
      </w:r>
      <w:r>
        <w:rPr>
          <w:lang w:val="en-BE" w:eastAsia="en-BE" w:bidi="ar-SA"/>
        </w:rPr>
        <w:t>евой А.А.,</w:t>
      </w:r>
    </w:p>
    <w:p w14:paraId="30A74BF2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</w:t>
      </w:r>
    </w:p>
    <w:p w14:paraId="1D195809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апелляционной жалобе:</w:t>
      </w:r>
    </w:p>
    <w:p w14:paraId="705311EE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ответчика </w:t>
      </w:r>
      <w:r>
        <w:rPr>
          <w:rStyle w:val="cat-UserDefinedgrp-20rplc-3"/>
          <w:lang w:val="en-BE" w:eastAsia="en-BE" w:bidi="ar-SA"/>
        </w:rPr>
        <w:t>...</w:t>
      </w:r>
      <w:r>
        <w:rPr>
          <w:lang w:val="en-BE" w:eastAsia="en-BE" w:bidi="ar-SA"/>
        </w:rPr>
        <w:t xml:space="preserve"> </w:t>
      </w:r>
      <w:r>
        <w:rPr>
          <w:rStyle w:val="cat-UserDefinedgrp-21rplc-5"/>
          <w:lang w:val="en-BE" w:eastAsia="en-BE" w:bidi="ar-SA"/>
        </w:rPr>
        <w:t>...</w:t>
      </w:r>
      <w:r>
        <w:rPr>
          <w:lang w:val="en-BE" w:eastAsia="en-BE" w:bidi="ar-SA"/>
        </w:rPr>
        <w:t xml:space="preserve"> на решение мирового судьи судебного участка № 415 района Косино-Ухтомский города Москвы К.М. Игнатьева от 19 февраля 2021 года, которым постанов</w:t>
      </w:r>
      <w:r>
        <w:rPr>
          <w:lang w:val="en-BE" w:eastAsia="en-BE" w:bidi="ar-SA"/>
        </w:rPr>
        <w:t>лено:</w:t>
      </w:r>
    </w:p>
    <w:p w14:paraId="3DE3CE4C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«Взыскать с </w:t>
      </w:r>
      <w:r>
        <w:rPr>
          <w:rStyle w:val="cat-UserDefinedgrp-20rplc-8"/>
          <w:lang w:val="en-BE" w:eastAsia="en-BE" w:bidi="ar-SA"/>
        </w:rPr>
        <w:t>...</w:t>
      </w:r>
      <w:r>
        <w:rPr>
          <w:lang w:val="en-BE" w:eastAsia="en-BE" w:bidi="ar-SA"/>
        </w:rPr>
        <w:t xml:space="preserve"> </w:t>
      </w:r>
      <w:r>
        <w:rPr>
          <w:rStyle w:val="cat-UserDefinedgrp-21rplc-10"/>
          <w:lang w:val="en-BE" w:eastAsia="en-BE" w:bidi="ar-SA"/>
        </w:rPr>
        <w:t>...</w:t>
      </w:r>
      <w:r>
        <w:rPr>
          <w:lang w:val="en-BE" w:eastAsia="en-BE" w:bidi="ar-SA"/>
        </w:rPr>
        <w:t xml:space="preserve"> в пользу ПАО «Сбербанк России" в лице филиала – Московского банка ПАО Сбербанк денежные средства в размере 4780,13 руб., расходы по оплате государственной пошлины в размере 1 636,70 руб.»,</w:t>
      </w:r>
    </w:p>
    <w:p w14:paraId="676E16BE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  ст. 328 , ст. 329 ГПК РФ</w:t>
      </w:r>
      <w:r>
        <w:rPr>
          <w:lang w:val="en-BE" w:eastAsia="en-BE" w:bidi="ar-SA"/>
        </w:rPr>
        <w:t xml:space="preserve"> суд </w:t>
      </w:r>
    </w:p>
    <w:p w14:paraId="056B6EC3" w14:textId="77777777" w:rsidR="00000000" w:rsidRDefault="00407C1C">
      <w:pPr>
        <w:widowControl w:val="0"/>
        <w:ind w:firstLine="1212"/>
        <w:jc w:val="both"/>
        <w:rPr>
          <w:lang w:val="en-BE" w:eastAsia="en-BE" w:bidi="ar-SA"/>
        </w:rPr>
      </w:pPr>
    </w:p>
    <w:p w14:paraId="0584EC5C" w14:textId="77777777" w:rsidR="00000000" w:rsidRDefault="00407C1C">
      <w:pPr>
        <w:widowControl w:val="0"/>
        <w:ind w:firstLine="1212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                            О П Р Е Д Е Л И Л:</w:t>
      </w:r>
    </w:p>
    <w:p w14:paraId="576C3DC4" w14:textId="77777777" w:rsidR="00000000" w:rsidRDefault="00407C1C">
      <w:pPr>
        <w:widowControl w:val="0"/>
        <w:ind w:firstLine="1212"/>
        <w:jc w:val="both"/>
        <w:rPr>
          <w:lang w:val="en-BE" w:eastAsia="en-BE" w:bidi="ar-SA"/>
        </w:rPr>
      </w:pPr>
    </w:p>
    <w:p w14:paraId="6E8A78D1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мирового судьи судебного участка № 415 района Косино-Ухтомский города Москвы К.М. Игнатьева от 19 февраля 2021 года, оставить без изменения, апелляционную жалобу </w:t>
      </w:r>
      <w:r>
        <w:rPr>
          <w:rStyle w:val="cat-UserDefinedgrp-20rplc-15"/>
          <w:lang w:val="en-BE" w:eastAsia="en-BE" w:bidi="ar-SA"/>
        </w:rPr>
        <w:t>...</w:t>
      </w:r>
      <w:r>
        <w:rPr>
          <w:lang w:val="en-BE" w:eastAsia="en-BE" w:bidi="ar-SA"/>
        </w:rPr>
        <w:t xml:space="preserve"> </w:t>
      </w:r>
      <w:r>
        <w:rPr>
          <w:rStyle w:val="cat-UserDefinedgrp-21rplc-17"/>
          <w:lang w:val="en-BE" w:eastAsia="en-BE" w:bidi="ar-SA"/>
        </w:rPr>
        <w:t>...</w:t>
      </w:r>
      <w:r>
        <w:rPr>
          <w:lang w:val="en-BE" w:eastAsia="en-BE" w:bidi="ar-SA"/>
        </w:rPr>
        <w:t xml:space="preserve"> – без </w:t>
      </w:r>
      <w:r>
        <w:rPr>
          <w:lang w:val="en-BE" w:eastAsia="en-BE" w:bidi="ar-SA"/>
        </w:rPr>
        <w:t>удовлетворения.</w:t>
      </w:r>
    </w:p>
    <w:p w14:paraId="5149EA5A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</w:p>
    <w:p w14:paraId="1BB0656D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Судья: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Л.Г. Ваньянц</w:t>
      </w:r>
      <w:r>
        <w:rPr>
          <w:i/>
          <w:iCs/>
          <w:lang w:val="en-BE" w:eastAsia="en-BE" w:bidi="ar-SA"/>
        </w:rPr>
        <w:t xml:space="preserve"> </w:t>
      </w:r>
    </w:p>
    <w:p w14:paraId="592FBB32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</w:p>
    <w:p w14:paraId="172D5AA3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</w:p>
    <w:p w14:paraId="41FAE127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</w:p>
    <w:p w14:paraId="509C6903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</w:p>
    <w:p w14:paraId="1B757BBF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</w:p>
    <w:p w14:paraId="05191832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</w:p>
    <w:p w14:paraId="2EC1E66B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</w:p>
    <w:p w14:paraId="5FB16FCF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</w:p>
    <w:p w14:paraId="351B4958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</w:p>
    <w:p w14:paraId="72D97315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</w:p>
    <w:p w14:paraId="1B20DCB9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</w:p>
    <w:p w14:paraId="56C074DB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</w:p>
    <w:p w14:paraId="304FD29F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</w:p>
    <w:p w14:paraId="014FE82B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</w:p>
    <w:p w14:paraId="718A7B41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</w:p>
    <w:p w14:paraId="68A7714F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</w:p>
    <w:p w14:paraId="7AB2E373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</w:p>
    <w:p w14:paraId="3BCCA75E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</w:p>
    <w:p w14:paraId="353D8CE7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</w:p>
    <w:p w14:paraId="155345E6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</w:p>
    <w:p w14:paraId="36AD4313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</w:p>
    <w:p w14:paraId="2FF3046C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</w:p>
    <w:p w14:paraId="18FD78E1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</w:p>
    <w:p w14:paraId="4F131AD1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</w:p>
    <w:p w14:paraId="2AF89DEB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</w:p>
    <w:p w14:paraId="1ECEF99E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</w:p>
    <w:p w14:paraId="054AF38D" w14:textId="77777777" w:rsidR="00000000" w:rsidRDefault="00407C1C">
      <w:pPr>
        <w:spacing w:line="240" w:lineRule="atLeast"/>
        <w:jc w:val="both"/>
        <w:rPr>
          <w:lang w:val="en-BE" w:eastAsia="en-BE" w:bidi="ar-SA"/>
        </w:rPr>
      </w:pPr>
    </w:p>
    <w:p w14:paraId="276E10D6" w14:textId="77777777" w:rsidR="00000000" w:rsidRDefault="00407C1C">
      <w:pPr>
        <w:jc w:val="right"/>
        <w:rPr>
          <w:lang w:val="en-BE" w:eastAsia="en-BE" w:bidi="ar-SA"/>
        </w:rPr>
      </w:pPr>
      <w:r>
        <w:rPr>
          <w:i/>
          <w:iCs/>
          <w:lang w:val="en-BE" w:eastAsia="en-BE" w:bidi="ar-SA"/>
        </w:rPr>
        <w:t xml:space="preserve"> </w:t>
      </w:r>
      <w:r>
        <w:rPr>
          <w:i/>
          <w:i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>Дело №11-128/2021</w:t>
      </w:r>
    </w:p>
    <w:p w14:paraId="4488A674" w14:textId="77777777" w:rsidR="00000000" w:rsidRDefault="00407C1C">
      <w:pPr>
        <w:rPr>
          <w:lang w:val="en-BE" w:eastAsia="en-BE" w:bidi="ar-SA"/>
        </w:rPr>
      </w:pPr>
    </w:p>
    <w:p w14:paraId="49667945" w14:textId="77777777" w:rsidR="00000000" w:rsidRDefault="00407C1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А П Е Л Л Я Ц И О Н Н О Е</w:t>
      </w:r>
    </w:p>
    <w:p w14:paraId="7B4730B1" w14:textId="77777777" w:rsidR="00000000" w:rsidRDefault="00407C1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 П Р Е Д Е Л Е Н И Е</w:t>
      </w:r>
    </w:p>
    <w:p w14:paraId="7523F454" w14:textId="77777777" w:rsidR="00000000" w:rsidRDefault="00407C1C">
      <w:pPr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</w:p>
    <w:p w14:paraId="7F61286F" w14:textId="77777777" w:rsidR="00000000" w:rsidRDefault="00407C1C">
      <w:pPr>
        <w:ind w:firstLine="1128"/>
        <w:jc w:val="both"/>
        <w:rPr>
          <w:lang w:val="en-BE" w:eastAsia="en-BE" w:bidi="ar-SA"/>
        </w:rPr>
      </w:pPr>
    </w:p>
    <w:p w14:paraId="4D591625" w14:textId="77777777" w:rsidR="00000000" w:rsidRDefault="00407C1C">
      <w:pPr>
        <w:ind w:left="50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27 августа 2021  года</w:t>
      </w:r>
    </w:p>
    <w:p w14:paraId="6DB371F7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Перовский районный суд  города  Москвы </w:t>
      </w:r>
    </w:p>
    <w:p w14:paraId="1827F97C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составе: предс</w:t>
      </w:r>
      <w:r>
        <w:rPr>
          <w:lang w:val="en-BE" w:eastAsia="en-BE" w:bidi="ar-SA"/>
        </w:rPr>
        <w:t xml:space="preserve">едательствующего судьи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Ваньянц Л.Г.,</w:t>
      </w:r>
    </w:p>
    <w:p w14:paraId="509ABB20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секретаре                                                  Михеевой А.А.,</w:t>
      </w:r>
    </w:p>
    <w:p w14:paraId="5B09937D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</w:t>
      </w:r>
    </w:p>
    <w:p w14:paraId="196C0C96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апелляционной жалобе:</w:t>
      </w:r>
    </w:p>
    <w:p w14:paraId="612B98BA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ответчика </w:t>
      </w:r>
      <w:r>
        <w:rPr>
          <w:rStyle w:val="cat-UserDefinedgrp-20rplc-22"/>
          <w:lang w:val="en-BE" w:eastAsia="en-BE" w:bidi="ar-SA"/>
        </w:rPr>
        <w:t>...</w:t>
      </w:r>
      <w:r>
        <w:rPr>
          <w:lang w:val="en-BE" w:eastAsia="en-BE" w:bidi="ar-SA"/>
        </w:rPr>
        <w:t xml:space="preserve"> </w:t>
      </w:r>
      <w:r>
        <w:rPr>
          <w:rStyle w:val="cat-UserDefinedgrp-21rplc-24"/>
          <w:lang w:val="en-BE" w:eastAsia="en-BE" w:bidi="ar-SA"/>
        </w:rPr>
        <w:t>...</w:t>
      </w:r>
      <w:r>
        <w:rPr>
          <w:lang w:val="en-BE" w:eastAsia="en-BE" w:bidi="ar-SA"/>
        </w:rPr>
        <w:t xml:space="preserve"> на решение мирового судьи судебного уч</w:t>
      </w:r>
      <w:r>
        <w:rPr>
          <w:lang w:val="en-BE" w:eastAsia="en-BE" w:bidi="ar-SA"/>
        </w:rPr>
        <w:t>астка № 415 района Косино-Ухтомский города Москвы К.М. Игнатьева от 19 февраля 2021 года, которым постановлено:</w:t>
      </w:r>
    </w:p>
    <w:p w14:paraId="608F0749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«Взыскать с </w:t>
      </w:r>
      <w:r>
        <w:rPr>
          <w:rStyle w:val="cat-UserDefinedgrp-20rplc-27"/>
          <w:lang w:val="en-BE" w:eastAsia="en-BE" w:bidi="ar-SA"/>
        </w:rPr>
        <w:t>...</w:t>
      </w:r>
      <w:r>
        <w:rPr>
          <w:lang w:val="en-BE" w:eastAsia="en-BE" w:bidi="ar-SA"/>
        </w:rPr>
        <w:t xml:space="preserve"> </w:t>
      </w:r>
      <w:r>
        <w:rPr>
          <w:rStyle w:val="cat-UserDefinedgrp-21rplc-29"/>
          <w:lang w:val="en-BE" w:eastAsia="en-BE" w:bidi="ar-SA"/>
        </w:rPr>
        <w:t>...</w:t>
      </w:r>
      <w:r>
        <w:rPr>
          <w:lang w:val="en-BE" w:eastAsia="en-BE" w:bidi="ar-SA"/>
        </w:rPr>
        <w:t xml:space="preserve"> в пользу ПАО «Сбербанк России" в лице филиала – Московского банка ПАО Сбербанк денежные средства в размере 4780,13 руб., рас</w:t>
      </w:r>
      <w:r>
        <w:rPr>
          <w:lang w:val="en-BE" w:eastAsia="en-BE" w:bidi="ar-SA"/>
        </w:rPr>
        <w:t>ходы по оплате государственной пошлины в размере 1 636,70 руб.»,</w:t>
      </w:r>
    </w:p>
    <w:p w14:paraId="6A17750D" w14:textId="77777777" w:rsidR="00000000" w:rsidRDefault="00407C1C">
      <w:pPr>
        <w:jc w:val="both"/>
        <w:rPr>
          <w:lang w:val="en-BE" w:eastAsia="en-BE" w:bidi="ar-SA"/>
        </w:rPr>
      </w:pPr>
    </w:p>
    <w:p w14:paraId="20F26564" w14:textId="77777777" w:rsidR="00000000" w:rsidRDefault="00407C1C">
      <w:pPr>
        <w:ind w:firstLine="1212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0E2875DD" w14:textId="77777777" w:rsidR="00000000" w:rsidRDefault="00407C1C">
      <w:pPr>
        <w:ind w:firstLine="1212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ПАО «Сбербанк России» в лице филиала – Московского банка ПАО Сбербанк обратился в суд с иском к ответчику </w:t>
      </w:r>
      <w:r>
        <w:rPr>
          <w:rStyle w:val="cat-UserDefinedgrp-20rplc-32"/>
          <w:lang w:val="en-BE" w:eastAsia="en-BE" w:bidi="ar-SA"/>
        </w:rPr>
        <w:t>...</w:t>
      </w:r>
      <w:r>
        <w:rPr>
          <w:lang w:val="en-BE" w:eastAsia="en-BE" w:bidi="ar-SA"/>
        </w:rPr>
        <w:t xml:space="preserve"> О.В. о взыскании задолженности по эмиссионному контракту N 0910</w:t>
      </w:r>
      <w:r>
        <w:rPr>
          <w:lang w:val="en-BE" w:eastAsia="en-BE" w:bidi="ar-SA"/>
        </w:rPr>
        <w:t xml:space="preserve">-Р-9696179530 от 12.12.2017 года, которая по состоянию на 30.09.2020 года составляет 47 890,13 руб., и состоит из: просроченного основного долга – 38 769,88 руб., просроченных процентов – 7 128.96 руб., неустойки – 1 991,29 руб.; государственной пошлины в </w:t>
      </w:r>
      <w:r>
        <w:rPr>
          <w:lang w:val="en-BE" w:eastAsia="en-BE" w:bidi="ar-SA"/>
        </w:rPr>
        <w:t xml:space="preserve">размере 1 636,70 руб. В обоснование заявленных требований истец ссылается на то, что 12.12.2017 года между ОАО (впоследствии - ПАО) "Сбербанк России" и </w:t>
      </w:r>
      <w:r>
        <w:rPr>
          <w:rStyle w:val="cat-UserDefinedgrp-20rplc-39"/>
          <w:lang w:val="en-BE" w:eastAsia="en-BE" w:bidi="ar-SA"/>
        </w:rPr>
        <w:t>...</w:t>
      </w:r>
      <w:r>
        <w:rPr>
          <w:lang w:val="en-BE" w:eastAsia="en-BE" w:bidi="ar-SA"/>
        </w:rPr>
        <w:t xml:space="preserve"> О.В. был заключен эмиссионный контракт 0910-Р-9696179530 от 12.12.2017 года на предоставление банком</w:t>
      </w:r>
      <w:r>
        <w:rPr>
          <w:lang w:val="en-BE" w:eastAsia="en-BE" w:bidi="ar-SA"/>
        </w:rPr>
        <w:t xml:space="preserve"> заемщику возобновляемой кредитной линии посредством выдачи банковской карты с представленным по ней кредитом и обслуживанием счета. Ответчик неоднократно нарушала положения договора, ей не производились платежи в счет погашения основного долга и процентов</w:t>
      </w:r>
      <w:r>
        <w:rPr>
          <w:lang w:val="en-BE" w:eastAsia="en-BE" w:bidi="ar-SA"/>
        </w:rPr>
        <w:t xml:space="preserve"> по кредиту, в связи с чем, возникла просроченная задолженность. Это явилось основанием для направления ответчику требования о возврате суммы долга, однако задолженность по кредитной карте ответчиком погашена не была.</w:t>
      </w:r>
    </w:p>
    <w:p w14:paraId="413E4C2B" w14:textId="77777777" w:rsidR="00000000" w:rsidRDefault="00407C1C">
      <w:pPr>
        <w:ind w:firstLine="1212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Представители истца ПАО «Сбербанк Росс</w:t>
      </w:r>
      <w:r>
        <w:rPr>
          <w:lang w:val="en-BE" w:eastAsia="en-BE" w:bidi="ar-SA"/>
        </w:rPr>
        <w:t xml:space="preserve">ии» в лице филиала – Московского банка ПАО Сбербанк - </w:t>
      </w:r>
      <w:r>
        <w:rPr>
          <w:rStyle w:val="cat-FIOgrp-7rplc-41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судебном заседании при рассмотрении дела мировым судьей исковые требования поддержала, настаивала на их удовлетворении, дополнительно представила расширенный отчет по операциям с банковской картой</w:t>
      </w:r>
      <w:r>
        <w:rPr>
          <w:lang w:val="en-BE" w:eastAsia="en-BE" w:bidi="ar-SA"/>
        </w:rPr>
        <w:t>.</w:t>
      </w:r>
    </w:p>
    <w:p w14:paraId="0DFCDFE5" w14:textId="77777777" w:rsidR="00000000" w:rsidRDefault="00407C1C">
      <w:pPr>
        <w:ind w:firstLine="1212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UserDefinedgrp-20rplc-42"/>
          <w:lang w:val="en-BE" w:eastAsia="en-BE" w:bidi="ar-SA"/>
        </w:rPr>
        <w:t>...</w:t>
      </w:r>
      <w:r>
        <w:rPr>
          <w:lang w:val="en-BE" w:eastAsia="en-BE" w:bidi="ar-SA"/>
        </w:rPr>
        <w:t xml:space="preserve"> О.В. в судебное заседании при рассмотрении дела мировым судьей не явилась, уполномочила представлять свои интересы </w:t>
      </w:r>
      <w:r>
        <w:rPr>
          <w:rStyle w:val="cat-UserDefinedgrp-20rplc-44"/>
          <w:lang w:val="en-BE" w:eastAsia="en-BE" w:bidi="ar-SA"/>
        </w:rPr>
        <w:t>...</w:t>
      </w:r>
      <w:r>
        <w:rPr>
          <w:rStyle w:val="cat-FIOgrp-8rplc-45"/>
          <w:lang w:val="en-BE" w:eastAsia="en-BE" w:bidi="ar-SA"/>
        </w:rPr>
        <w:t>фио</w:t>
      </w:r>
      <w:r>
        <w:rPr>
          <w:lang w:val="en-BE" w:eastAsia="en-BE" w:bidi="ar-SA"/>
        </w:rPr>
        <w:t>, который в судебном заседании иск согласно первоначальному отзыву на не признал, согласно последующим дополнениям к отз</w:t>
      </w:r>
      <w:r>
        <w:rPr>
          <w:lang w:val="en-BE" w:eastAsia="en-BE" w:bidi="ar-SA"/>
        </w:rPr>
        <w:t>ыву выражал несогласие с представленным расчетом, пологая, что банк неверно рассчитал сумму задолженности, не учел справку об отсутствии задолженности с 07.08.2018 года, неверно рассчитал просроченные проценты за период с 05.01.2018 года по 30.09.2020 года</w:t>
      </w:r>
      <w:r>
        <w:rPr>
          <w:lang w:val="en-BE" w:eastAsia="en-BE" w:bidi="ar-SA"/>
        </w:rPr>
        <w:t>, не учел уплаченные проценты.</w:t>
      </w:r>
    </w:p>
    <w:p w14:paraId="3926189A" w14:textId="77777777" w:rsidR="00000000" w:rsidRDefault="00407C1C">
      <w:pPr>
        <w:ind w:firstLine="1212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Представители истца ПАО «Сбербанк России» в лице филиала – Московского банка ПАО Сбербанк </w:t>
      </w:r>
      <w:r>
        <w:rPr>
          <w:rStyle w:val="cat-FIOgrp-9rplc-46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 апелляционной инстанции с апелляционной жалобой </w:t>
      </w:r>
      <w:r>
        <w:rPr>
          <w:rStyle w:val="cat-UserDefinedgrp-20rplc-47"/>
          <w:lang w:val="en-BE" w:eastAsia="en-BE" w:bidi="ar-SA"/>
        </w:rPr>
        <w:t>...</w:t>
      </w:r>
      <w:r>
        <w:rPr>
          <w:rStyle w:val="cat-FIOgrp-10rplc-48"/>
          <w:lang w:val="en-BE" w:eastAsia="en-BE" w:bidi="ar-SA"/>
        </w:rPr>
        <w:t>фио</w:t>
      </w:r>
      <w:r>
        <w:rPr>
          <w:lang w:val="en-BE" w:eastAsia="en-BE" w:bidi="ar-SA"/>
        </w:rPr>
        <w:t xml:space="preserve"> не согласилась по доводам, изложенным в возражениях. Просила решение </w:t>
      </w:r>
      <w:r>
        <w:rPr>
          <w:lang w:val="en-BE" w:eastAsia="en-BE" w:bidi="ar-SA"/>
        </w:rPr>
        <w:t>мирового судьи оставить без изменения, апелляционную жалобу – без удовлетворения.</w:t>
      </w:r>
    </w:p>
    <w:p w14:paraId="058A9F92" w14:textId="77777777" w:rsidR="00000000" w:rsidRDefault="00407C1C">
      <w:pPr>
        <w:ind w:firstLine="1212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ответчика </w:t>
      </w:r>
      <w:r>
        <w:rPr>
          <w:rStyle w:val="cat-FIOgrp-11rplc-49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 апелляционной инстанции доводы своей апелляционной жалобы поддержал в полном объеме, просил решение мирового судьи отменить, принять по дел</w:t>
      </w:r>
      <w:r>
        <w:rPr>
          <w:lang w:val="en-BE" w:eastAsia="en-BE" w:bidi="ar-SA"/>
        </w:rPr>
        <w:t xml:space="preserve">у новое решение, производство по делу прекратить </w:t>
      </w:r>
    </w:p>
    <w:p w14:paraId="32184C6D" w14:textId="77777777" w:rsidR="00000000" w:rsidRDefault="00407C1C">
      <w:pPr>
        <w:widowControl w:val="0"/>
        <w:jc w:val="both"/>
        <w:rPr>
          <w:lang w:val="en-BE" w:eastAsia="en-BE" w:bidi="ar-SA"/>
        </w:rPr>
      </w:pPr>
      <w:r>
        <w:rPr>
          <w:spacing w:val="1"/>
          <w:lang w:val="en-BE" w:eastAsia="en-BE" w:bidi="ar-SA"/>
        </w:rPr>
        <w:t xml:space="preserve">                  </w:t>
      </w:r>
      <w:r>
        <w:rPr>
          <w:lang w:val="en-BE" w:eastAsia="en-BE" w:bidi="ar-SA"/>
        </w:rPr>
        <w:t>Обсудив доводы апелляционной жалобы, изучив материалы гражданского дела, суд не находит оснований для отмены или изменения решения мирового судьи, постановленного в соответствии с действую</w:t>
      </w:r>
      <w:r>
        <w:rPr>
          <w:lang w:val="en-BE" w:eastAsia="en-BE" w:bidi="ar-SA"/>
        </w:rPr>
        <w:t>щим законодательством и фактическими  обстоятельствами дела.</w:t>
      </w:r>
    </w:p>
    <w:p w14:paraId="6938C7C3" w14:textId="77777777" w:rsidR="00000000" w:rsidRDefault="00407C1C">
      <w:pPr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327.1 ГПК РФ, - суд апелляционной инстанции рассматривает дело в пределах доводов, изложенных в апелляционных жалобе, представлении и возражениях относительно жалобы, пр</w:t>
      </w:r>
      <w:r>
        <w:rPr>
          <w:lang w:val="en-BE" w:eastAsia="en-BE" w:bidi="ar-SA"/>
        </w:rPr>
        <w:t>едставления.</w:t>
      </w:r>
    </w:p>
    <w:p w14:paraId="42547FB2" w14:textId="77777777" w:rsidR="00000000" w:rsidRDefault="00407C1C">
      <w:pPr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330 ГПК РФ, - основаниями для отмены или изменения решения суда в апелляционном порядке являются:</w:t>
      </w:r>
    </w:p>
    <w:p w14:paraId="3EB3B32B" w14:textId="77777777" w:rsidR="00000000" w:rsidRDefault="00407C1C">
      <w:pPr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>неправильное определение обстоятельств, имеющих значение для дела;</w:t>
      </w:r>
    </w:p>
    <w:p w14:paraId="0EED5ADB" w14:textId="77777777" w:rsidR="00000000" w:rsidRDefault="00407C1C">
      <w:pPr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>недоказанность установленных судом первой инстанции обст</w:t>
      </w:r>
      <w:r>
        <w:rPr>
          <w:lang w:val="en-BE" w:eastAsia="en-BE" w:bidi="ar-SA"/>
        </w:rPr>
        <w:t>оятельств, имеющих значение для дела;</w:t>
      </w:r>
    </w:p>
    <w:p w14:paraId="42C33C0E" w14:textId="77777777" w:rsidR="00000000" w:rsidRDefault="00407C1C">
      <w:pPr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>несоответствие выводов суда первой инстанции, изложенных в решении суда, обстоятельствам дела;</w:t>
      </w:r>
    </w:p>
    <w:p w14:paraId="56E3BD47" w14:textId="77777777" w:rsidR="00000000" w:rsidRDefault="00407C1C">
      <w:pPr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нарушение или неправильное применение норм материального права или норм процессуального права.</w:t>
      </w:r>
    </w:p>
    <w:p w14:paraId="79E11E9D" w14:textId="77777777" w:rsidR="00000000" w:rsidRDefault="00407C1C">
      <w:pPr>
        <w:widowControl w:val="0"/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этом, доказательственная</w:t>
      </w:r>
      <w:r>
        <w:rPr>
          <w:lang w:val="en-BE" w:eastAsia="en-BE" w:bidi="ar-SA"/>
        </w:rPr>
        <w:t xml:space="preserve"> деятельность, в первую очередь, связана с поведением сторон, процессуальная активность которых по доказыванию ограничена процессуальными правилами об относимости, допустимости, достоверности и достаточности доказательств (</w:t>
      </w:r>
      <w:hyperlink r:id="rId7" w:history="1">
        <w:r>
          <w:rPr>
            <w:color w:val="0000EE"/>
            <w:lang w:val="en-BE" w:eastAsia="en-BE" w:bidi="ar-SA"/>
          </w:rPr>
          <w:t>ст. ст. 56</w:t>
        </w:r>
      </w:hyperlink>
      <w:r>
        <w:rPr>
          <w:lang w:val="en-BE" w:eastAsia="en-BE" w:bidi="ar-SA"/>
        </w:rPr>
        <w:t xml:space="preserve">, </w:t>
      </w:r>
      <w:hyperlink r:id="rId8" w:history="1">
        <w:r>
          <w:rPr>
            <w:color w:val="0000EE"/>
            <w:lang w:val="en-BE" w:eastAsia="en-BE" w:bidi="ar-SA"/>
          </w:rPr>
          <w:t>59</w:t>
        </w:r>
      </w:hyperlink>
      <w:r>
        <w:rPr>
          <w:lang w:val="en-BE" w:eastAsia="en-BE" w:bidi="ar-SA"/>
        </w:rPr>
        <w:t xml:space="preserve">, </w:t>
      </w:r>
      <w:hyperlink r:id="rId9" w:history="1">
        <w:r>
          <w:rPr>
            <w:color w:val="0000EE"/>
            <w:lang w:val="en-BE" w:eastAsia="en-BE" w:bidi="ar-SA"/>
          </w:rPr>
          <w:t>60</w:t>
        </w:r>
      </w:hyperlink>
      <w:r>
        <w:rPr>
          <w:lang w:val="en-BE" w:eastAsia="en-BE" w:bidi="ar-SA"/>
        </w:rPr>
        <w:t xml:space="preserve">, </w:t>
      </w:r>
      <w:hyperlink r:id="rId10" w:history="1">
        <w:r>
          <w:rPr>
            <w:color w:val="0000EE"/>
            <w:lang w:val="en-BE" w:eastAsia="en-BE" w:bidi="ar-SA"/>
          </w:rPr>
          <w:t>67</w:t>
        </w:r>
      </w:hyperlink>
      <w:r>
        <w:rPr>
          <w:lang w:val="en-BE" w:eastAsia="en-BE" w:bidi="ar-SA"/>
        </w:rPr>
        <w:t xml:space="preserve"> ГПК РФ). В случае процессуального бездействия стороны в части представления в обоснование своих требований и возражений доказательств, отвечающих требованиям процессуального закона, такая сторона самостоятельно несет неблагоприятные последствия своег</w:t>
      </w:r>
      <w:r>
        <w:rPr>
          <w:lang w:val="en-BE" w:eastAsia="en-BE" w:bidi="ar-SA"/>
        </w:rPr>
        <w:t>о пассивного поведения.</w:t>
      </w:r>
    </w:p>
    <w:p w14:paraId="4C60545C" w14:textId="77777777" w:rsidR="00000000" w:rsidRDefault="00407C1C">
      <w:pPr>
        <w:widowControl w:val="0"/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</w:t>
      </w:r>
      <w:r>
        <w:rPr>
          <w:lang w:val="en-BE" w:eastAsia="en-BE" w:bidi="ar-SA"/>
        </w:rPr>
        <w:t>обычаями делового оборота или иными обычно предъявляемыми требованиями.</w:t>
      </w:r>
    </w:p>
    <w:p w14:paraId="269139D8" w14:textId="77777777" w:rsidR="00000000" w:rsidRDefault="00407C1C">
      <w:pPr>
        <w:widowControl w:val="0"/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2C64E6F1" w14:textId="77777777" w:rsidR="00000000" w:rsidRDefault="00407C1C">
      <w:pPr>
        <w:widowControl w:val="0"/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</w:t>
      </w:r>
      <w:r>
        <w:rPr>
          <w:lang w:val="en-BE" w:eastAsia="en-BE" w:bidi="ar-SA"/>
        </w:rPr>
        <w:t xml:space="preserve">. 1 ст. 319 ГК РФ за пользование чужими денежными средствами вследствие их неправомерного удержания, уклонения от их возврата, иной просрочки в их уплате либо неосновательного получения или сбережения за счет другого лица подлежат уплате проценты на сумму </w:t>
      </w:r>
      <w:r>
        <w:rPr>
          <w:lang w:val="en-BE" w:eastAsia="en-BE" w:bidi="ar-SA"/>
        </w:rPr>
        <w:t>этих средств.</w:t>
      </w:r>
    </w:p>
    <w:p w14:paraId="35FC6C5D" w14:textId="77777777" w:rsidR="00000000" w:rsidRDefault="00407C1C">
      <w:pPr>
        <w:widowControl w:val="0"/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330 ГК РФ,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</w:t>
      </w:r>
      <w:r>
        <w:rPr>
          <w:lang w:val="en-BE" w:eastAsia="en-BE" w:bidi="ar-SA"/>
        </w:rPr>
        <w:t xml:space="preserve"> в случае просрочки исполнения. По требованию об уплате неустойки кредитор не обязан доказывать причинение ему убытков.</w:t>
      </w:r>
    </w:p>
    <w:p w14:paraId="2FD60A32" w14:textId="77777777" w:rsidR="00000000" w:rsidRDefault="00407C1C">
      <w:pPr>
        <w:widowControl w:val="0"/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 809 ГК РФ, если иное не предусмотрено законом или договором займа, займодавец имеет право на получение с заемщика </w:t>
      </w:r>
      <w:r>
        <w:rPr>
          <w:lang w:val="en-BE" w:eastAsia="en-BE" w:bidi="ar-SA"/>
        </w:rPr>
        <w:t>процентов на сумму займа в размерах и в порядке, определенных договором.</w:t>
      </w:r>
    </w:p>
    <w:p w14:paraId="4151F4E9" w14:textId="77777777" w:rsidR="00000000" w:rsidRDefault="00407C1C">
      <w:pPr>
        <w:widowControl w:val="0"/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810 ГК РФ заемщик обязан возвратить займодавцу полученную сумму займа в срок и в порядке, которые предусмотрены договором займа.</w:t>
      </w:r>
    </w:p>
    <w:p w14:paraId="002D52D5" w14:textId="77777777" w:rsidR="00000000" w:rsidRDefault="00407C1C">
      <w:pPr>
        <w:widowControl w:val="0"/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819 ГК РФ по кредитному догово</w:t>
      </w:r>
      <w:r>
        <w:rPr>
          <w:lang w:val="en-BE" w:eastAsia="en-BE" w:bidi="ar-SA"/>
        </w:rPr>
        <w:t>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65CF7418" w14:textId="77777777" w:rsidR="00000000" w:rsidRDefault="00407C1C">
      <w:pPr>
        <w:widowControl w:val="0"/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уста</w:t>
      </w:r>
      <w:r>
        <w:rPr>
          <w:lang w:val="en-BE" w:eastAsia="en-BE" w:bidi="ar-SA"/>
        </w:rPr>
        <w:t xml:space="preserve">новлено, что 12.12.2017 года между ПАО Сбербанк и </w:t>
      </w:r>
      <w:r>
        <w:rPr>
          <w:rStyle w:val="cat-UserDefinedgrp-20rplc-50"/>
          <w:lang w:val="en-BE" w:eastAsia="en-BE" w:bidi="ar-SA"/>
        </w:rPr>
        <w:t>...</w:t>
      </w:r>
      <w:r>
        <w:rPr>
          <w:lang w:val="en-BE" w:eastAsia="en-BE" w:bidi="ar-SA"/>
        </w:rPr>
        <w:t xml:space="preserve"> О.В. в результате публичной оферты был заключен договор (эмиссионный контракт N 0910-Р-9696179530 от 12.12.2017 года) на предоставление последней возобновляемой кредитной линии посредством выдачи ему кр</w:t>
      </w:r>
      <w:r>
        <w:rPr>
          <w:lang w:val="en-BE" w:eastAsia="en-BE" w:bidi="ar-SA"/>
        </w:rPr>
        <w:t>едитной карты Сбербанка Visa Gold путем оформления ответчиком заявления на получение кредитной карты Сбербанка Visa Gold ознакомления ее с Условиями выпуска и обслуживания кредитной карты Сбербанка России, тарифами Сбербанка, Памяткой держателя международн</w:t>
      </w:r>
      <w:r>
        <w:rPr>
          <w:lang w:val="en-BE" w:eastAsia="en-BE" w:bidi="ar-SA"/>
        </w:rPr>
        <w:t>ых банковских карт, по которому банком была выдана кредитная карта Visa Gold с лимитом кредита 74 000 рублей, под 23,9% годовых, условия предоставления и возврата которого изложены в информации о полной стоимости кредита, условиях и тарифах Сбербанка.</w:t>
      </w:r>
    </w:p>
    <w:p w14:paraId="62A597D5" w14:textId="77777777" w:rsidR="00000000" w:rsidRDefault="00407C1C">
      <w:pPr>
        <w:widowControl w:val="0"/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</w:t>
      </w:r>
      <w:r>
        <w:rPr>
          <w:lang w:val="en-BE" w:eastAsia="en-BE" w:bidi="ar-SA"/>
        </w:rPr>
        <w:t>асно Условиям выпуска и обслуживания кредитной карты ОАО "Сбербанк России", держатель карты пополняет счет карты на сумму обязательного платежа, указанную в отчете для погашения задолженности.</w:t>
      </w:r>
    </w:p>
    <w:p w14:paraId="05BEA9D0" w14:textId="77777777" w:rsidR="00000000" w:rsidRDefault="00407C1C">
      <w:pPr>
        <w:widowControl w:val="0"/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того, банк вправе потребовать от заемщика досрочно возвра</w:t>
      </w:r>
      <w:r>
        <w:rPr>
          <w:lang w:val="en-BE" w:eastAsia="en-BE" w:bidi="ar-SA"/>
        </w:rPr>
        <w:t>тить всю сумму кредита и уплатить причитающиеся проценты за пользование кредитом, неустойку, предусмотренные условиями договора, в случае неисполнения или ненадлежащего исполнения заемщиком его обязательств по погашению кредита и/или уплате процентов за по</w:t>
      </w:r>
      <w:r>
        <w:rPr>
          <w:lang w:val="en-BE" w:eastAsia="en-BE" w:bidi="ar-SA"/>
        </w:rPr>
        <w:t>льзование кредитом по договору.</w:t>
      </w:r>
    </w:p>
    <w:p w14:paraId="7E854575" w14:textId="77777777" w:rsidR="00000000" w:rsidRDefault="00407C1C">
      <w:pPr>
        <w:widowControl w:val="0"/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>Факт неисполнения ответчиком условий договора подтверждается представленным суду расчетом задолженности и направленным на адрес ответчика требованием о возврате суммы кредита, процентов за пользование кредитом и уплате неуст</w:t>
      </w:r>
      <w:r>
        <w:rPr>
          <w:lang w:val="en-BE" w:eastAsia="en-BE" w:bidi="ar-SA"/>
        </w:rPr>
        <w:t>ойки в связи с неисполнением своих обязательств по возврату задолженности по кредиту.</w:t>
      </w:r>
    </w:p>
    <w:p w14:paraId="59C6A2D9" w14:textId="77777777" w:rsidR="00000000" w:rsidRDefault="00407C1C">
      <w:pPr>
        <w:widowControl w:val="0"/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56 ГПК РФ, каждая сторона должна доказать те обстоятельства, на которые она ссылается как на основания своих требований и возражений, если иное не предусмотрен</w:t>
      </w:r>
      <w:r>
        <w:rPr>
          <w:lang w:val="en-BE" w:eastAsia="en-BE" w:bidi="ar-SA"/>
        </w:rPr>
        <w:t>о федеральным законом.</w:t>
      </w:r>
    </w:p>
    <w:p w14:paraId="346236B9" w14:textId="77777777" w:rsidR="00000000" w:rsidRDefault="00407C1C">
      <w:pPr>
        <w:widowControl w:val="0"/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состоянию на 30 сентября 2020 года задолженность ответчика составляет 47 890,13 руб., в том числе: просроченный основной долг – 38 769,88 руб., просроченные проценты – 7 128.96 руб., неустойка – 1 991,29 руб.</w:t>
      </w:r>
    </w:p>
    <w:p w14:paraId="36DA3385" w14:textId="77777777" w:rsidR="00000000" w:rsidRDefault="00407C1C">
      <w:pPr>
        <w:widowControl w:val="0"/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Представленный истцом</w:t>
      </w:r>
      <w:r>
        <w:rPr>
          <w:lang w:val="en-BE" w:eastAsia="en-BE" w:bidi="ar-SA"/>
        </w:rPr>
        <w:t xml:space="preserve"> расчет, проверен судом, полностью согласуется с отчетом о движении денежных средств по карте, представленной представителем истца, оснований не согласиться с ним не имеется, расчет задолженности является обоснованным.</w:t>
      </w:r>
    </w:p>
    <w:p w14:paraId="6BF746C3" w14:textId="77777777" w:rsidR="00000000" w:rsidRDefault="00407C1C">
      <w:pPr>
        <w:widowControl w:val="0"/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>С представленным расчетом ответчика с</w:t>
      </w:r>
      <w:r>
        <w:rPr>
          <w:lang w:val="en-BE" w:eastAsia="en-BE" w:bidi="ar-SA"/>
        </w:rPr>
        <w:t>уд не согласился, поскольку нашел его арифметически неверным, основанным на неверном расчете суммы задолженности, по условиям, указанным в индивидуальных условиях выпуска и обслуживания кредитной карты ПАО Сбербанк.</w:t>
      </w:r>
    </w:p>
    <w:p w14:paraId="086291B1" w14:textId="77777777" w:rsidR="00000000" w:rsidRDefault="00407C1C">
      <w:pPr>
        <w:widowControl w:val="0"/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>Ссылка представителя ответчика на справк</w:t>
      </w:r>
      <w:r>
        <w:rPr>
          <w:lang w:val="en-BE" w:eastAsia="en-BE" w:bidi="ar-SA"/>
        </w:rPr>
        <w:t xml:space="preserve">у об отсутствии задолженности по состоянию на 07.08.2018 года судом не может быть принята во внимание поскольку, с ответчика взыскивается задолженность за последующий период по состоянию на 30.09.2020 года. </w:t>
      </w:r>
    </w:p>
    <w:p w14:paraId="487BE7AD" w14:textId="77777777" w:rsidR="00000000" w:rsidRDefault="00407C1C">
      <w:pPr>
        <w:widowControl w:val="0"/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разрешая исковые требования, миро</w:t>
      </w:r>
      <w:r>
        <w:rPr>
          <w:lang w:val="en-BE" w:eastAsia="en-BE" w:bidi="ar-SA"/>
        </w:rPr>
        <w:t>вой судья верно пришел к выводу, о том, что заявленные исковые требования законны, обоснованы и подлежат удовлетворению, а с ответчика в пользу истца, следует взыскать задолженность по задолженность по эмиссионному контракту в размере 47 890,13 руб.</w:t>
      </w:r>
    </w:p>
    <w:p w14:paraId="5473B069" w14:textId="77777777" w:rsidR="00000000" w:rsidRDefault="00407C1C">
      <w:pPr>
        <w:widowControl w:val="0"/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</w:t>
      </w:r>
      <w:r>
        <w:rPr>
          <w:lang w:val="en-BE" w:eastAsia="en-BE" w:bidi="ar-SA"/>
        </w:rPr>
        <w:t>ветствии с ч. 1 ст. 98 ГПК РФ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ч. 2 ст. 96 ГПК РФ.</w:t>
      </w:r>
    </w:p>
    <w:p w14:paraId="7543A0CE" w14:textId="77777777" w:rsidR="00000000" w:rsidRDefault="00407C1C">
      <w:pPr>
        <w:widowControl w:val="0"/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Учитывая, что исковые требовани</w:t>
      </w:r>
      <w:r>
        <w:rPr>
          <w:lang w:val="en-BE" w:eastAsia="en-BE" w:bidi="ar-SA"/>
        </w:rPr>
        <w:t xml:space="preserve">я ПАО "Сбербанк России" в лице филиала - филиала Среднерусского Банка ПАО Сбербанк к </w:t>
      </w:r>
      <w:r>
        <w:rPr>
          <w:rStyle w:val="cat-UserDefinedgrp-20rplc-58"/>
          <w:lang w:val="en-BE" w:eastAsia="en-BE" w:bidi="ar-SA"/>
        </w:rPr>
        <w:t>...</w:t>
      </w:r>
      <w:r>
        <w:rPr>
          <w:lang w:val="en-BE" w:eastAsia="en-BE" w:bidi="ar-SA"/>
        </w:rPr>
        <w:t xml:space="preserve"> О.В. о взыскании задолженности удовлетворены, с ответчика подлежит взысканию государственная пошлина, уплаченная истцом при подаче в суд искового заявления в размере 1</w:t>
      </w:r>
      <w:r>
        <w:rPr>
          <w:lang w:val="en-BE" w:eastAsia="en-BE" w:bidi="ar-SA"/>
        </w:rPr>
        <w:t> 636,70 руб.</w:t>
      </w:r>
    </w:p>
    <w:p w14:paraId="3E7CF7EC" w14:textId="77777777" w:rsidR="00000000" w:rsidRDefault="00407C1C">
      <w:pPr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Доводы апелляционной жалобы не содержат каких-либо доводов, являющихся основанием для отмены решения мирового судьи,  который с достаточной полнотой и объективностью исследовал все представленные  доказательства, дал надлежащую оценку имеющимс</w:t>
      </w:r>
      <w:r>
        <w:rPr>
          <w:lang w:val="en-BE" w:eastAsia="en-BE" w:bidi="ar-SA"/>
        </w:rPr>
        <w:t>я в материалах дела доказательствам,  с чем суд апелляционной инстанции соглашается в полном объеме, а поэтому оснований для отмены  решения мирового судьи не имеется. При этом, суд апелляционной инстанции не может согласиться с контррасчетом ответчика, по</w:t>
      </w:r>
      <w:r>
        <w:rPr>
          <w:lang w:val="en-BE" w:eastAsia="en-BE" w:bidi="ar-SA"/>
        </w:rPr>
        <w:t xml:space="preserve">скольку находит его основанным на неверном расчете задолженности, является арифметически неверным. Ссылка представителя ответчика на справку об отсутствии задолженности по состоянию на 07.08.2018 г., а также на то, что </w:t>
      </w:r>
      <w:r>
        <w:rPr>
          <w:rStyle w:val="cat-UserDefinedgrp-20rplc-61"/>
          <w:lang w:val="en-BE" w:eastAsia="en-BE" w:bidi="ar-SA"/>
        </w:rPr>
        <w:t>...</w:t>
      </w:r>
      <w:r>
        <w:rPr>
          <w:lang w:val="en-BE" w:eastAsia="en-BE" w:bidi="ar-SA"/>
        </w:rPr>
        <w:t xml:space="preserve"> О.В. счетом не пользовалась, не с</w:t>
      </w:r>
      <w:r>
        <w:rPr>
          <w:lang w:val="en-BE" w:eastAsia="en-BE" w:bidi="ar-SA"/>
        </w:rPr>
        <w:t xml:space="preserve">остоятельна, так как с ответчика взыскивается задолженность за последующий период по состоянию на 30.09.2020 г. Кроме того, как усматривается из представленных ПАО Сбербанк отчетов и выписок, после августа 2018 года ответчиком совершены операции по снятию </w:t>
      </w:r>
      <w:r>
        <w:rPr>
          <w:lang w:val="en-BE" w:eastAsia="en-BE" w:bidi="ar-SA"/>
        </w:rPr>
        <w:t xml:space="preserve">надличных денежных средств. Мировым судьей были правильно установлены фактические обстоятельства, которые в совокупности послужили основанием для удовлетворения иска. </w:t>
      </w:r>
    </w:p>
    <w:p w14:paraId="5B3FE097" w14:textId="77777777" w:rsidR="00000000" w:rsidRDefault="00407C1C">
      <w:pPr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рассмотрении дела судом не допущено нарушения или неправильного применения норм мате</w:t>
      </w:r>
      <w:r>
        <w:rPr>
          <w:lang w:val="en-BE" w:eastAsia="en-BE" w:bidi="ar-SA"/>
        </w:rPr>
        <w:t>риального или процессуального права, повлекших вынесение незаконного решения, а поэтому оснований к отмене или изменению решения суда не имеется.</w:t>
      </w:r>
    </w:p>
    <w:p w14:paraId="3C97E21D" w14:textId="77777777" w:rsidR="00000000" w:rsidRDefault="00407C1C">
      <w:pPr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Доводы апелляционной жалобы направлены на переоценку собранных доказательств и обстоятельств, установленных по</w:t>
      </w:r>
      <w:r>
        <w:rPr>
          <w:lang w:val="en-BE" w:eastAsia="en-BE" w:bidi="ar-SA"/>
        </w:rPr>
        <w:t xml:space="preserve"> делу, однако,   согласно положениям ст.ст.56, 59, 67 ГПК РФ, суд самостоятельно определяет, какие обстоятельства имеют значение для дела, какой стороне их надлежит доказывать, принимает те доказательства, которые имеют значение для рассмотрения и разрешен</w:t>
      </w:r>
      <w:r>
        <w:rPr>
          <w:lang w:val="en-BE" w:eastAsia="en-BE" w:bidi="ar-SA"/>
        </w:rPr>
        <w:t xml:space="preserve">ия дела, оценивает доказательства по своему внутреннему убеждению, основанному на всестороннем, полном, объективном и непосредственном исследовании имеющихся в деле доказательств, никакие доказательства не имеют для суда заранее установленной силы.  </w:t>
      </w:r>
    </w:p>
    <w:p w14:paraId="29CA4389" w14:textId="77777777" w:rsidR="00000000" w:rsidRDefault="00407C1C">
      <w:pPr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>Плену</w:t>
      </w:r>
      <w:r>
        <w:rPr>
          <w:lang w:val="en-BE" w:eastAsia="en-BE" w:bidi="ar-SA"/>
        </w:rPr>
        <w:t xml:space="preserve">м Верховного Суда РФ в постановлении от 19 декабря 2003 г. за № 23 «О судебном решении» разъяснил, что решение должно быть законным и обоснованным (часть 1 статьи 195 ГПК РФ). Решение является законным в том случае, когда оно принято при точном соблюдении </w:t>
      </w:r>
      <w:r>
        <w:rPr>
          <w:lang w:val="en-BE" w:eastAsia="en-BE" w:bidi="ar-SA"/>
        </w:rPr>
        <w:t>норм процессуального права и в полном соответствии с нормами материального права, которые подлежат применению к данному правоотношению, или основано на применении в необходимых случаях аналогии закона или аналогии права (часть 1 статьи 1, часть 3 статьи 11</w:t>
      </w:r>
      <w:r>
        <w:rPr>
          <w:lang w:val="en-BE" w:eastAsia="en-BE" w:bidi="ar-SA"/>
        </w:rPr>
        <w:t xml:space="preserve"> ГПК РФ). Решение является обоснованным тогда, когда имеющие значение для дела факты подтверждены исследованными судом доказательствами, удовлетворяющими требованиям закона об их относимости и допустимости, или обстоятельствами, не нуждающимися в доказыван</w:t>
      </w:r>
      <w:r>
        <w:rPr>
          <w:lang w:val="en-BE" w:eastAsia="en-BE" w:bidi="ar-SA"/>
        </w:rPr>
        <w:t>ии (статьи 55, 59 - 61, 67 ГПК РФ), а также тогда, когда оно содержит исчерпывающие выводы суда, вытекающие из установленных фактов.</w:t>
      </w:r>
    </w:p>
    <w:p w14:paraId="4F8D9FCF" w14:textId="77777777" w:rsidR="00000000" w:rsidRDefault="00407C1C">
      <w:pPr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Эти требования при вынесении решения мировым судьей соблюдены в полном объеме.  </w:t>
      </w:r>
    </w:p>
    <w:p w14:paraId="07389528" w14:textId="77777777" w:rsidR="00000000" w:rsidRDefault="00407C1C">
      <w:pPr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изложенного, руководствуясь  </w:t>
      </w:r>
      <w:r>
        <w:rPr>
          <w:lang w:val="en-BE" w:eastAsia="en-BE" w:bidi="ar-SA"/>
        </w:rPr>
        <w:t xml:space="preserve"> ст. 328 , ст. 329 ГПК РФ суд    </w:t>
      </w:r>
    </w:p>
    <w:p w14:paraId="20BEC18D" w14:textId="77777777" w:rsidR="00000000" w:rsidRDefault="00407C1C">
      <w:pPr>
        <w:ind w:firstLine="112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                            О П Р Е Д Е Л И Л:</w:t>
      </w:r>
    </w:p>
    <w:p w14:paraId="51140388" w14:textId="77777777" w:rsidR="00000000" w:rsidRDefault="00407C1C">
      <w:pPr>
        <w:ind w:firstLine="1128"/>
        <w:jc w:val="both"/>
        <w:rPr>
          <w:lang w:val="en-BE" w:eastAsia="en-BE" w:bidi="ar-SA"/>
        </w:rPr>
      </w:pPr>
    </w:p>
    <w:p w14:paraId="07D852EC" w14:textId="77777777" w:rsidR="00000000" w:rsidRDefault="00407C1C">
      <w:pPr>
        <w:ind w:firstLine="1212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мирового судьи судебного участка № 415 района Косино-Ухтомский города Москвы К.М. Игнатьева от 19 февраля 2021 года оставить без изменения, апелляцио</w:t>
      </w:r>
      <w:r>
        <w:rPr>
          <w:lang w:val="en-BE" w:eastAsia="en-BE" w:bidi="ar-SA"/>
        </w:rPr>
        <w:t xml:space="preserve">нную жалобу </w:t>
      </w:r>
      <w:r>
        <w:rPr>
          <w:rStyle w:val="cat-UserDefinedgrp-20rplc-65"/>
          <w:lang w:val="en-BE" w:eastAsia="en-BE" w:bidi="ar-SA"/>
        </w:rPr>
        <w:t>...</w:t>
      </w:r>
      <w:r>
        <w:rPr>
          <w:lang w:val="en-BE" w:eastAsia="en-BE" w:bidi="ar-SA"/>
        </w:rPr>
        <w:t xml:space="preserve"> </w:t>
      </w:r>
      <w:r>
        <w:rPr>
          <w:rStyle w:val="cat-UserDefinedgrp-21rplc-67"/>
          <w:lang w:val="en-BE" w:eastAsia="en-BE" w:bidi="ar-SA"/>
        </w:rPr>
        <w:t>...</w:t>
      </w:r>
      <w:r>
        <w:rPr>
          <w:lang w:val="en-BE" w:eastAsia="en-BE" w:bidi="ar-SA"/>
        </w:rPr>
        <w:t xml:space="preserve"> – без удовлетворения.</w:t>
      </w:r>
    </w:p>
    <w:p w14:paraId="10F1EB66" w14:textId="77777777" w:rsidR="00000000" w:rsidRDefault="00407C1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2BE05C5B" w14:textId="77777777" w:rsidR="00000000" w:rsidRDefault="00407C1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Судья: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Л.Г. Ваньянц </w:t>
      </w:r>
    </w:p>
    <w:p w14:paraId="5943E0A7" w14:textId="77777777" w:rsidR="00000000" w:rsidRDefault="00407C1C">
      <w:pPr>
        <w:spacing w:line="240" w:lineRule="atLeast"/>
        <w:ind w:firstLine="1212"/>
        <w:jc w:val="both"/>
        <w:rPr>
          <w:lang w:val="en-BE" w:eastAsia="en-BE" w:bidi="ar-SA"/>
        </w:rPr>
      </w:pPr>
    </w:p>
    <w:sectPr w:rsidR="00000000">
      <w:footerReference w:type="default" r:id="rId11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C7A0A" w14:textId="77777777" w:rsidR="00000000" w:rsidRDefault="00407C1C">
      <w:r>
        <w:separator/>
      </w:r>
    </w:p>
  </w:endnote>
  <w:endnote w:type="continuationSeparator" w:id="0">
    <w:p w14:paraId="1E83FF2E" w14:textId="77777777" w:rsidR="00000000" w:rsidRDefault="00407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9F1A7" w14:textId="77777777" w:rsidR="00000000" w:rsidRDefault="00407C1C">
    <w:pPr>
      <w:widowControl w:val="0"/>
      <w:ind w:right="360"/>
      <w:rPr>
        <w:sz w:val="20"/>
        <w:szCs w:val="20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E5F74" w14:textId="77777777" w:rsidR="00000000" w:rsidRDefault="00407C1C">
      <w:r>
        <w:separator/>
      </w:r>
    </w:p>
  </w:footnote>
  <w:footnote w:type="continuationSeparator" w:id="0">
    <w:p w14:paraId="753C01C9" w14:textId="77777777" w:rsidR="00000000" w:rsidRDefault="00407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7C1C"/>
    <w:rsid w:val="0040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243A9A1C"/>
  <w15:chartTrackingRefBased/>
  <w15:docId w15:val="{2A695DD3-A482-4C12-B8D0-47C88311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UserDefinedgrp-20rplc-3">
    <w:name w:val="cat-UserDefined grp-20 rplc-3"/>
    <w:basedOn w:val="a0"/>
  </w:style>
  <w:style w:type="character" w:customStyle="1" w:styleId="cat-UserDefinedgrp-21rplc-5">
    <w:name w:val="cat-UserDefined grp-21 rplc-5"/>
    <w:basedOn w:val="a0"/>
  </w:style>
  <w:style w:type="character" w:customStyle="1" w:styleId="cat-UserDefinedgrp-20rplc-8">
    <w:name w:val="cat-UserDefined grp-20 rplc-8"/>
    <w:basedOn w:val="a0"/>
  </w:style>
  <w:style w:type="character" w:customStyle="1" w:styleId="cat-UserDefinedgrp-21rplc-10">
    <w:name w:val="cat-UserDefined grp-21 rplc-10"/>
    <w:basedOn w:val="a0"/>
  </w:style>
  <w:style w:type="character" w:customStyle="1" w:styleId="cat-UserDefinedgrp-20rplc-15">
    <w:name w:val="cat-UserDefined grp-20 rplc-15"/>
    <w:basedOn w:val="a0"/>
  </w:style>
  <w:style w:type="character" w:customStyle="1" w:styleId="cat-UserDefinedgrp-21rplc-17">
    <w:name w:val="cat-UserDefined grp-21 rplc-17"/>
    <w:basedOn w:val="a0"/>
  </w:style>
  <w:style w:type="character" w:customStyle="1" w:styleId="cat-UserDefinedgrp-20rplc-22">
    <w:name w:val="cat-UserDefined grp-20 rplc-22"/>
    <w:basedOn w:val="a0"/>
  </w:style>
  <w:style w:type="character" w:customStyle="1" w:styleId="cat-UserDefinedgrp-21rplc-24">
    <w:name w:val="cat-UserDefined grp-21 rplc-24"/>
    <w:basedOn w:val="a0"/>
  </w:style>
  <w:style w:type="character" w:customStyle="1" w:styleId="cat-UserDefinedgrp-20rplc-27">
    <w:name w:val="cat-UserDefined grp-20 rplc-27"/>
    <w:basedOn w:val="a0"/>
  </w:style>
  <w:style w:type="character" w:customStyle="1" w:styleId="cat-UserDefinedgrp-21rplc-29">
    <w:name w:val="cat-UserDefined grp-21 rplc-29"/>
    <w:basedOn w:val="a0"/>
  </w:style>
  <w:style w:type="character" w:customStyle="1" w:styleId="cat-UserDefinedgrp-20rplc-32">
    <w:name w:val="cat-UserDefined grp-20 rplc-32"/>
    <w:basedOn w:val="a0"/>
  </w:style>
  <w:style w:type="character" w:customStyle="1" w:styleId="cat-UserDefinedgrp-20rplc-39">
    <w:name w:val="cat-UserDefined grp-20 rplc-39"/>
    <w:basedOn w:val="a0"/>
  </w:style>
  <w:style w:type="character" w:customStyle="1" w:styleId="cat-FIOgrp-7rplc-41">
    <w:name w:val="cat-FIO grp-7 rplc-41"/>
    <w:basedOn w:val="a0"/>
  </w:style>
  <w:style w:type="character" w:customStyle="1" w:styleId="cat-UserDefinedgrp-20rplc-42">
    <w:name w:val="cat-UserDefined grp-20 rplc-42"/>
    <w:basedOn w:val="a0"/>
  </w:style>
  <w:style w:type="character" w:customStyle="1" w:styleId="cat-UserDefinedgrp-20rplc-44">
    <w:name w:val="cat-UserDefined grp-20 rplc-44"/>
    <w:basedOn w:val="a0"/>
  </w:style>
  <w:style w:type="character" w:customStyle="1" w:styleId="cat-FIOgrp-8rplc-45">
    <w:name w:val="cat-FIO grp-8 rplc-45"/>
    <w:basedOn w:val="a0"/>
  </w:style>
  <w:style w:type="character" w:customStyle="1" w:styleId="cat-FIOgrp-9rplc-46">
    <w:name w:val="cat-FIO grp-9 rplc-46"/>
    <w:basedOn w:val="a0"/>
  </w:style>
  <w:style w:type="character" w:customStyle="1" w:styleId="cat-UserDefinedgrp-20rplc-47">
    <w:name w:val="cat-UserDefined grp-20 rplc-47"/>
    <w:basedOn w:val="a0"/>
  </w:style>
  <w:style w:type="character" w:customStyle="1" w:styleId="cat-FIOgrp-10rplc-48">
    <w:name w:val="cat-FIO grp-10 rplc-48"/>
    <w:basedOn w:val="a0"/>
  </w:style>
  <w:style w:type="character" w:customStyle="1" w:styleId="cat-FIOgrp-11rplc-49">
    <w:name w:val="cat-FIO grp-11 rplc-49"/>
    <w:basedOn w:val="a0"/>
  </w:style>
  <w:style w:type="character" w:customStyle="1" w:styleId="cat-UserDefinedgrp-20rplc-50">
    <w:name w:val="cat-UserDefined grp-20 rplc-50"/>
    <w:basedOn w:val="a0"/>
  </w:style>
  <w:style w:type="character" w:customStyle="1" w:styleId="cat-UserDefinedgrp-20rplc-58">
    <w:name w:val="cat-UserDefined grp-20 rplc-58"/>
    <w:basedOn w:val="a0"/>
  </w:style>
  <w:style w:type="character" w:customStyle="1" w:styleId="cat-UserDefinedgrp-20rplc-61">
    <w:name w:val="cat-UserDefined grp-20 rplc-61"/>
    <w:basedOn w:val="a0"/>
  </w:style>
  <w:style w:type="character" w:customStyle="1" w:styleId="cat-UserDefinedgrp-20rplc-65">
    <w:name w:val="cat-UserDefined grp-20 rplc-65"/>
    <w:basedOn w:val="a0"/>
  </w:style>
  <w:style w:type="character" w:customStyle="1" w:styleId="cat-UserDefinedgrp-21rplc-67">
    <w:name w:val="cat-UserDefined grp-21 rplc-6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6143ACA2D70CECF1B9DD3299E72FD713E6ECE488A47B91301F0B79813A8800D153B934E58619124AZ4e9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6143ACA2D70CECF1B9DD3299E72FD713E6ECE488A47B91301F0B79813A8800D153B934E58619124BZ4eB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6143ACA2D70CECF1B9DD3299E72FD713E6ECE488A47B91301F0B79813A8800D153B934E586191244Z4e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6143ACA2D70CECF1B9DD3299E72FD713E6ECE488A47B91301F0B79813A8800D153B934E58619124AZ4eF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2271</Words>
  <Characters>12946</Characters>
  <Application>Microsoft Office Word</Application>
  <DocSecurity>0</DocSecurity>
  <Lines>107</Lines>
  <Paragraphs>30</Paragraphs>
  <ScaleCrop>false</ScaleCrop>
  <Company/>
  <LinksUpToDate>false</LinksUpToDate>
  <CharactersWithSpaces>15187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