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81E70" w14:textId="77777777" w:rsidR="008932EB" w:rsidRDefault="005857DF" w:rsidP="008932EB">
      <w:pPr>
        <w:ind w:left="-284" w:right="-427" w:firstLine="426"/>
        <w:jc w:val="center"/>
      </w:pPr>
      <w:bookmarkStart w:id="0" w:name="_GoBack"/>
      <w:bookmarkEnd w:id="0"/>
      <w:r>
        <w:t>РЕШЕНИЕ</w:t>
      </w:r>
    </w:p>
    <w:p w14:paraId="38348CF3" w14:textId="77777777" w:rsidR="008932EB" w:rsidRDefault="005857DF" w:rsidP="008932EB">
      <w:pPr>
        <w:ind w:left="-284" w:right="-427" w:firstLine="426"/>
        <w:jc w:val="both"/>
      </w:pPr>
      <w:r>
        <w:t>г.Москва                                                                                              29 марта 2017 года</w:t>
      </w:r>
    </w:p>
    <w:p w14:paraId="53100D15" w14:textId="77777777" w:rsidR="008932EB" w:rsidRDefault="005857DF" w:rsidP="008932EB">
      <w:pPr>
        <w:ind w:left="-284" w:right="-427" w:firstLine="426"/>
        <w:jc w:val="both"/>
      </w:pPr>
      <w:r>
        <w:t>Судья Гагаринского районного суда г.Москвы Басихина Т.В., рассмотрев в открытом судебном заседании жалобу Санкт-Петербургской т</w:t>
      </w:r>
      <w:r>
        <w:t xml:space="preserve">аможни Северо-Западного таможенного управления Федеральной таможенной службы на постановление и.о. мирового судьи судебного участка № 219 Академического района г.Москвы - мирового судьи судебного участка № 215 Ломоносовского района г. Москвы от 23 декабря </w:t>
      </w:r>
      <w:r>
        <w:t>2016 года, которым прекращено производство по делу об административном правонарушении, предусмотренном ст.19.7 КоАП РФ в отношении ПАО «Сбербанк России»,</w:t>
      </w:r>
    </w:p>
    <w:p w14:paraId="29D2D16C" w14:textId="77777777" w:rsidR="008932EB" w:rsidRDefault="005857DF" w:rsidP="008932EB">
      <w:pPr>
        <w:ind w:left="-284" w:right="-427" w:firstLine="426"/>
        <w:jc w:val="center"/>
      </w:pPr>
      <w:r>
        <w:t>УСТАНОВИЛ:</w:t>
      </w:r>
    </w:p>
    <w:p w14:paraId="17B8DA34" w14:textId="77777777" w:rsidR="008932EB" w:rsidRDefault="005857DF" w:rsidP="008932EB">
      <w:pPr>
        <w:ind w:left="-284" w:right="-427" w:firstLine="426"/>
        <w:jc w:val="both"/>
      </w:pPr>
      <w:r>
        <w:t>23 декабря 2016 года и.о. мирового судьи судебного участка № 219 Академического района г.Мо</w:t>
      </w:r>
      <w:r>
        <w:t>сквы - мировым судьей судебного участка № 215 Ломоносовского района г. Москвы вынесено постановление по делу об административном правонарушении в отношении ПАО «Сбербанк России», которым прекращено производство по делу об административном правонарушении, п</w:t>
      </w:r>
      <w:r>
        <w:t>редусмотренном ст.19.7 КоАП РФ в связи с отсутствием события административного правонарушения.</w:t>
      </w:r>
    </w:p>
    <w:p w14:paraId="2997B8AF" w14:textId="77777777" w:rsidR="008932EB" w:rsidRDefault="005857DF" w:rsidP="008932EB">
      <w:pPr>
        <w:ind w:left="-284" w:right="-427" w:firstLine="426"/>
        <w:jc w:val="both"/>
      </w:pPr>
      <w:r>
        <w:t>На указанное постановление Санкт-Петербургской таможней подана жалоба, в которой податель заявил о несогласии с постановлением мирового судьи, просил отменить ег</w:t>
      </w:r>
      <w:r>
        <w:t xml:space="preserve">о, по основаниям, изложенным в жалобе.     </w:t>
      </w:r>
    </w:p>
    <w:p w14:paraId="3C94E977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Изучив материалы дела об административном правонарушении и доводы жалобы заявителя, прихожу к следующим выводам.</w:t>
      </w:r>
    </w:p>
    <w:p w14:paraId="37CD568B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Как следует из материалов дела, 17 ноября 2016 года Санкт-Петербургской таможней в отношении ПАО Сб</w:t>
      </w:r>
      <w:r>
        <w:t xml:space="preserve">ербанк составлен протокол об административном правонарушении, предусмотренном </w:t>
      </w:r>
      <w:hyperlink r:id="rId5" w:history="1">
        <w:r>
          <w:rPr>
            <w:rStyle w:val="a5"/>
            <w:color w:val="auto"/>
            <w:u w:val="none"/>
          </w:rPr>
          <w:t>ст. 19.7</w:t>
        </w:r>
      </w:hyperlink>
      <w:r>
        <w:t xml:space="preserve"> КоАП РФ, согласно которому Банк в сро</w:t>
      </w:r>
      <w:r>
        <w:t xml:space="preserve">к по 17 октября 2016 года включительно не предоставило в указанный таможенный орган документы и сведения в отношении ЗАО "Первая мебельная фабрика", истребованные в соответствии со </w:t>
      </w:r>
      <w:hyperlink r:id="rId6" w:history="1">
        <w:r>
          <w:rPr>
            <w:rStyle w:val="a5"/>
            <w:color w:val="auto"/>
            <w:u w:val="none"/>
          </w:rPr>
          <w:t>ст. 98</w:t>
        </w:r>
      </w:hyperlink>
      <w:r>
        <w:t xml:space="preserve">, </w:t>
      </w:r>
      <w:hyperlink r:id="rId7" w:history="1">
        <w:r>
          <w:rPr>
            <w:rStyle w:val="a5"/>
            <w:color w:val="auto"/>
            <w:u w:val="none"/>
          </w:rPr>
          <w:t>пп. 4 п. 1 ст. 134</w:t>
        </w:r>
      </w:hyperlink>
      <w:r>
        <w:t xml:space="preserve"> Таможенного кодекса Таможенного союза, </w:t>
      </w:r>
      <w:hyperlink r:id="rId8" w:history="1">
        <w:r>
          <w:rPr>
            <w:rStyle w:val="a5"/>
            <w:color w:val="auto"/>
            <w:u w:val="none"/>
          </w:rPr>
          <w:t>ст. 167</w:t>
        </w:r>
      </w:hyperlink>
      <w:r>
        <w:t xml:space="preserve"> Федерального закона от 27 ноября 2010 года N 311-ФЗ "О таможенном регулировании в Российской Федерации", в связи с пр</w:t>
      </w:r>
      <w:r>
        <w:t>оведением камеральной таможенной проверки.</w:t>
      </w:r>
    </w:p>
    <w:p w14:paraId="5B7DE3F1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Указанный протокол с приложенными к нему материалами переданы на рассмотрение и.о. мирового судьи судебного участка № 219 Академического района г.Москвы - мирового судьи судебного участка № 215 Ломоносовского райо</w:t>
      </w:r>
      <w:r>
        <w:t xml:space="preserve">на г. Москвы, постановлением которого от 23 декабря 2016 года производство по делу об административном правонарушении в отношении ПАО Сбербанк было прекращено на основании </w:t>
      </w:r>
      <w:hyperlink r:id="rId9" w:history="1">
        <w:r>
          <w:rPr>
            <w:rStyle w:val="a5"/>
            <w:color w:val="auto"/>
            <w:u w:val="none"/>
          </w:rPr>
          <w:t>п. 1 ч. 1 ст. 24.5</w:t>
        </w:r>
      </w:hyperlink>
      <w:r>
        <w:t xml:space="preserve"> КоАП РФ в связи с отсутствием события административного правонарушения, предусмотренного </w:t>
      </w:r>
      <w:hyperlink r:id="rId10" w:history="1">
        <w:r>
          <w:rPr>
            <w:rStyle w:val="a5"/>
            <w:color w:val="auto"/>
            <w:u w:val="none"/>
          </w:rPr>
          <w:t>ст. 19.7</w:t>
        </w:r>
      </w:hyperlink>
      <w:r>
        <w:t xml:space="preserve"> КоАП РФ.</w:t>
      </w:r>
    </w:p>
    <w:p w14:paraId="079E7F67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Приходя к такому выводу, мировой судья исходил из того, что ст.5 Таможенного кодекса Таможенного союза урегулирован порядок подсчета дней предоставления запрашиваемых в рамках проводимой таможенной проверки</w:t>
      </w:r>
      <w:r>
        <w:t xml:space="preserve"> таможенным органом сведений и документов, в связи с чем, посчитал необходимым производство по делу прекратить в связи с отсутствием события административного правонарушения, поскольку истребованные таможенным органом сведения должны были быть направлены б</w:t>
      </w:r>
      <w:r>
        <w:t>анком не позднее 17 октября 2016 года, а согласно реестра почтовой корреспонденции от 17 октября 2016 года, письмо № 207-2Е-02-37/2533859 о направлении в Санкт-Петербургскую таможню истребованных документов и сведений в отношении ЗАО «Первая мебельная Фабр</w:t>
      </w:r>
      <w:r>
        <w:t>ика», было передано банком на Екатеринбургский почтамт в предусмотренный срок – 17 октября 2016 года, которыми они были направлены по назначению 18 октября 2016 года с соблюдением условий заключенного между ПАО Сбербанк и ФГУП Почта России договора на оказ</w:t>
      </w:r>
      <w:r>
        <w:t>ание услуг почтовой связи.</w:t>
      </w:r>
    </w:p>
    <w:p w14:paraId="668A46A4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hyperlink r:id="rId11" w:history="1">
        <w:r>
          <w:rPr>
            <w:rStyle w:val="a5"/>
            <w:color w:val="auto"/>
            <w:u w:val="none"/>
          </w:rPr>
          <w:t>Статьей 24.1</w:t>
        </w:r>
      </w:hyperlink>
      <w:r>
        <w:t xml:space="preserve"> КоАП РФ предусмотрено, что задачами производства по делам об административных правон</w:t>
      </w:r>
      <w:r>
        <w:t>арушениях являются всестороннее, полное, объективное и своевременное выяснение обстоятельств каждого дела, разрешение его в соответствии с законом, обеспечение исполнения вынесенного постановления, а также выявление причин и условий, способствовавших совер</w:t>
      </w:r>
      <w:r>
        <w:t>шению административных правонарушений.</w:t>
      </w:r>
    </w:p>
    <w:p w14:paraId="61C4F291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lastRenderedPageBreak/>
        <w:t xml:space="preserve">Согласно </w:t>
      </w:r>
      <w:hyperlink r:id="rId12" w:history="1">
        <w:r>
          <w:rPr>
            <w:rStyle w:val="a5"/>
            <w:color w:val="auto"/>
            <w:u w:val="none"/>
          </w:rPr>
          <w:t>статье 26.1</w:t>
        </w:r>
      </w:hyperlink>
      <w:r>
        <w:t xml:space="preserve"> КоАП РФ к числу обстоятельств, подлежащих выяснению по делу об а</w:t>
      </w:r>
      <w:r>
        <w:t xml:space="preserve">дминистративном правонарушении, относятся: наличие события административного правонарушения, лицо, совершившее противоправные действия (бездействие), за которые настоящим </w:t>
      </w:r>
      <w:hyperlink r:id="rId13" w:history="1">
        <w:r>
          <w:rPr>
            <w:rStyle w:val="a5"/>
            <w:color w:val="auto"/>
            <w:u w:val="none"/>
          </w:rPr>
          <w:t>Кодексом</w:t>
        </w:r>
      </w:hyperlink>
      <w:r>
        <w:t xml:space="preserve"> или законом субъекта Российской Федерации предусмотрена административная ответственность, виновность лица в совершении административного правонарушения, обстоятельства, исключающие производство по делу об административном </w:t>
      </w:r>
      <w:r>
        <w:t>правонарушении и иные обстоятельства, имеющие значение для правильного разрешения дела, а также причины и условия совершения административного правонарушения.</w:t>
      </w:r>
    </w:p>
    <w:p w14:paraId="5B9AA194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 xml:space="preserve">Объективную сторону </w:t>
      </w:r>
      <w:hyperlink r:id="rId14" w:history="1">
        <w:r>
          <w:rPr>
            <w:rStyle w:val="a5"/>
            <w:color w:val="auto"/>
            <w:u w:val="none"/>
          </w:rPr>
          <w:t>ст. 19.7</w:t>
        </w:r>
      </w:hyperlink>
      <w:r>
        <w:t xml:space="preserve"> КоАП РФ составляют действия (бездействие), выразившиеся в непредставлении или несвоевременном представлении в государственный орган (должностному лицу), орган (должностному лицу), осуществляющ</w:t>
      </w:r>
      <w:r>
        <w:t>ий (осуществляющему) государственный контроль (надзор), муниципальный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деятельности.</w:t>
      </w:r>
    </w:p>
    <w:p w14:paraId="5635A319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Между тем, основан</w:t>
      </w:r>
      <w:r>
        <w:t>ием для направления Санкт-Петербургской таможней запроса 05-1б/29003 от 26 сентября 2016 г. в ПАО Сбербанк, неисполнение которого в срок, вменялось в вину Банку, явилась камеральная проверка, проводимая в отношении ЗАО «Первая Мебельная Фабрика».</w:t>
      </w:r>
    </w:p>
    <w:p w14:paraId="62BEEB58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Таможенны</w:t>
      </w:r>
      <w:r>
        <w:t xml:space="preserve">й </w:t>
      </w:r>
      <w:hyperlink r:id="rId15" w:history="1">
        <w:r>
          <w:rPr>
            <w:rStyle w:val="a5"/>
            <w:color w:val="auto"/>
            <w:u w:val="none"/>
          </w:rPr>
          <w:t>Кодекс</w:t>
        </w:r>
      </w:hyperlink>
      <w:r>
        <w:t xml:space="preserve"> Таможенного союза закрепляет право таможенных органов для проведения таможенного контроля получать необходимые документы и сведения о ден</w:t>
      </w:r>
      <w:r>
        <w:t>ежных операциях по осуществляемым внешнеэкономическим сделкам от банков и организаций, осуществляющих отдельные виды банковских операций.</w:t>
      </w:r>
    </w:p>
    <w:p w14:paraId="51577312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В соответствии со ст. 98 ТК ТС декларант, лица, осуществляющие деятельность в сфере таможенного дела, и иные заинтерес</w:t>
      </w:r>
      <w:r>
        <w:t xml:space="preserve">ованные лица обязаны представлять таможенным органам документы и сведения, необходимые для проведения таможенного контроля, в устной, письменной и (или) электронной формах </w:t>
      </w:r>
      <w:hyperlink r:id="rId16" w:history="1">
        <w:r>
          <w:rPr>
            <w:rStyle w:val="a5"/>
            <w:color w:val="auto"/>
            <w:u w:val="none"/>
          </w:rPr>
          <w:t>(ч. 1)</w:t>
        </w:r>
      </w:hyperlink>
      <w:r>
        <w:t>. Таможенный орган вправе запрашивать документы и сведения, необходимые для проведения таможенного контроля, в письменной и (или) электронной формах, а также устанавливать срок их представления, который</w:t>
      </w:r>
      <w:r>
        <w:t xml:space="preserve"> должен быть достаточен для представления запрашиваемых документов и сведений (ч. 2).</w:t>
      </w:r>
    </w:p>
    <w:p w14:paraId="22E66D28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Исходя из смысла указанной нормы, декларанты, лица, осуществляющие деятельность в сфере таможенного дела, и иные заинтересованные лица обязаны представлять по запросу там</w:t>
      </w:r>
      <w:r>
        <w:t xml:space="preserve">оженного органа необходимые документы и сведения. Данные сведения могут быть представлены в устной, письменной и (или) электронных формах. Указанная обязанность продублирована также в </w:t>
      </w:r>
      <w:hyperlink r:id="rId17" w:history="1">
        <w:r>
          <w:rPr>
            <w:rStyle w:val="a5"/>
            <w:color w:val="auto"/>
            <w:u w:val="none"/>
          </w:rPr>
          <w:t>ст. ст. 166</w:t>
        </w:r>
      </w:hyperlink>
      <w:r>
        <w:t xml:space="preserve"> - </w:t>
      </w:r>
      <w:hyperlink r:id="rId18" w:history="1">
        <w:r>
          <w:rPr>
            <w:rStyle w:val="a5"/>
            <w:color w:val="auto"/>
            <w:u w:val="none"/>
          </w:rPr>
          <w:t>167</w:t>
        </w:r>
      </w:hyperlink>
      <w:r>
        <w:t xml:space="preserve"> Федерального закона N 311-ФЗ "О таможенном рег</w:t>
      </w:r>
      <w:r>
        <w:t>улировании в Российской Федерации".</w:t>
      </w:r>
    </w:p>
    <w:p w14:paraId="7CF6556B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 xml:space="preserve">Так, в силу </w:t>
      </w:r>
      <w:hyperlink r:id="rId19" w:history="1">
        <w:r>
          <w:rPr>
            <w:rStyle w:val="a5"/>
            <w:color w:val="auto"/>
            <w:u w:val="none"/>
          </w:rPr>
          <w:t>ч. 1 ст. 167</w:t>
        </w:r>
      </w:hyperlink>
      <w:r>
        <w:t xml:space="preserve"> Федерального закона N 311-ФЗ "О таможенном регулировании в Росс</w:t>
      </w:r>
      <w:r>
        <w:t>ийской Федерации" таможенный орган, проводящий таможенную проверку, вправе запрашивать у банков, располагающих документами и сведениями, касающимися деятельности проверяемых организаций (индивидуальных предпринимателей), по предмету проверки заверенные коп</w:t>
      </w:r>
      <w:r>
        <w:t>ии контрактов (договоров), заверенные копии паспорта сделок, ведомости банковского контроля, справки о подтверждающих документах, заверенные копии карточки с образцами подписей и оттисками печатей, а также выписки по операциям на счетах организаций (индиви</w:t>
      </w:r>
      <w:r>
        <w:t>дуальных предпринимателей), в том числе содержащие банковскую тайну, в соответствии с законодательством Российской Федерации о банках и банковской деятельности. Банк, получивший мотивированный запрос о представлении документов и сведений, исполняет его в т</w:t>
      </w:r>
      <w:r>
        <w:t>ечение пяти дней со дня получения или в тот же срок сообщает, что не располагает запрашиваемыми документами и сведениями.</w:t>
      </w:r>
    </w:p>
    <w:p w14:paraId="1137EB6D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 xml:space="preserve">Порядок направления данных запросов, а также требования к содержанию и форме запросов при проведении таможенной проверки определены </w:t>
      </w:r>
      <w:hyperlink r:id="rId20" w:history="1">
        <w:r>
          <w:rPr>
            <w:rStyle w:val="a5"/>
            <w:color w:val="auto"/>
            <w:u w:val="none"/>
          </w:rPr>
          <w:t>Приказом</w:t>
        </w:r>
      </w:hyperlink>
      <w:r>
        <w:t xml:space="preserve"> ФТС России от 30 декабря 2010 г. N 2721 "Об утверждении Порядка направления таможенным органом в банки и иные кредитные организации запроса</w:t>
      </w:r>
      <w:r>
        <w:t xml:space="preserve"> о представлении документов и сведений". </w:t>
      </w:r>
      <w:hyperlink r:id="rId21" w:history="1">
        <w:r>
          <w:rPr>
            <w:rStyle w:val="a5"/>
            <w:color w:val="auto"/>
            <w:u w:val="none"/>
          </w:rPr>
          <w:t>Приказом</w:t>
        </w:r>
      </w:hyperlink>
      <w:r>
        <w:t xml:space="preserve"> ФТС России от 30.06.2011 N 1388 утвержден порядок представления банками и иными кредитными </w:t>
      </w:r>
      <w:r>
        <w:lastRenderedPageBreak/>
        <w:t>орган</w:t>
      </w:r>
      <w:r>
        <w:t>изациями документов и сведений по запросам таможенных органов, а также форма выписки по операциям на счете организации (индивидуального предпринимателя).</w:t>
      </w:r>
    </w:p>
    <w:p w14:paraId="294F6A53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Вместе с тем, административная ответственность за непредставление в установленный таможенным органом с</w:t>
      </w:r>
      <w:r>
        <w:t xml:space="preserve">рок документов и сведений, необходимых для проведения таможенного контроля установлена </w:t>
      </w:r>
      <w:hyperlink r:id="rId22" w:history="1">
        <w:r>
          <w:rPr>
            <w:rStyle w:val="a5"/>
            <w:color w:val="auto"/>
            <w:u w:val="none"/>
          </w:rPr>
          <w:t>ч. 3 ст. 16.12</w:t>
        </w:r>
      </w:hyperlink>
      <w:r>
        <w:t xml:space="preserve"> КоАП РФ, которая является </w:t>
      </w:r>
      <w:r>
        <w:t xml:space="preserve">специальной по отношению к </w:t>
      </w:r>
      <w:hyperlink r:id="rId23" w:history="1">
        <w:r>
          <w:rPr>
            <w:rStyle w:val="a5"/>
            <w:color w:val="auto"/>
            <w:u w:val="none"/>
          </w:rPr>
          <w:t>ст. 19.7</w:t>
        </w:r>
      </w:hyperlink>
      <w:r>
        <w:t xml:space="preserve"> КоАП РФ.</w:t>
      </w:r>
    </w:p>
    <w:p w14:paraId="66AEAEB1" w14:textId="77777777" w:rsidR="008932EB" w:rsidRDefault="005857DF" w:rsidP="008932EB">
      <w:pPr>
        <w:autoSpaceDE w:val="0"/>
        <w:autoSpaceDN w:val="0"/>
        <w:adjustRightInd w:val="0"/>
        <w:ind w:left="-284" w:right="-427" w:firstLine="426"/>
        <w:jc w:val="both"/>
      </w:pPr>
      <w:r>
        <w:t>Несмотря на это, постановление мирового судьи от 23 декабря 2016 года не подлеж</w:t>
      </w:r>
      <w:r>
        <w:t>ит отмене, поскольку, как указано выше, ПАО Сбербанк в указанный в запросе срок (пятидневный) с момента получения 10 октября 2016 года запроса таможенного органа, с учетом положений ст.5 Таможенного кодекса Таможенного союза, надлежащим образом в установле</w:t>
      </w:r>
      <w:r>
        <w:t>нный срок исполнило запрос таможенного органа, передав на Екатеринбургский почтамт 17 октября 2016 года письмо № 207-2Е-02-37/2533859 о направлении в Санкт-Петербургскую таможню истребованных документов и сведений в отношении ЗАО «Первая мебельная Фабрика»</w:t>
      </w:r>
      <w:r>
        <w:t>, что подтверждается представленными в материалы дела доказательствами, надлежащим образом исследованными мировым судьей при постановлении по настоящему делу судебного решения.</w:t>
      </w:r>
    </w:p>
    <w:p w14:paraId="5670B383" w14:textId="77777777" w:rsidR="008932EB" w:rsidRDefault="005857DF" w:rsidP="008932EB">
      <w:pPr>
        <w:pStyle w:val="2"/>
        <w:ind w:left="-284" w:right="-427" w:firstLine="426"/>
      </w:pPr>
      <w:r>
        <w:t>При таких обстоятельствах, постановление мирового судьи подлежит оставлению без</w:t>
      </w:r>
      <w:r>
        <w:t xml:space="preserve"> изменения, жалоба Санкт-Петербургской таможни - без удовлетворения.</w:t>
      </w:r>
    </w:p>
    <w:p w14:paraId="3CA3820E" w14:textId="77777777" w:rsidR="008932EB" w:rsidRDefault="005857DF" w:rsidP="008932EB">
      <w:pPr>
        <w:pStyle w:val="2"/>
        <w:ind w:left="-284" w:right="-427" w:firstLine="426"/>
      </w:pPr>
      <w:r>
        <w:t xml:space="preserve">На основании изложенного, руководствуясь гл.30 Кодекса РФ об административных правонарушениях, суд,  </w:t>
      </w:r>
    </w:p>
    <w:p w14:paraId="67C12847" w14:textId="77777777" w:rsidR="008932EB" w:rsidRDefault="005857DF" w:rsidP="008932EB">
      <w:pPr>
        <w:ind w:left="-284" w:right="-427" w:firstLine="426"/>
        <w:jc w:val="center"/>
      </w:pPr>
      <w:r>
        <w:t>РЕШИЛ:</w:t>
      </w:r>
    </w:p>
    <w:p w14:paraId="783319C9" w14:textId="77777777" w:rsidR="008932EB" w:rsidRDefault="005857DF" w:rsidP="008932EB">
      <w:pPr>
        <w:pStyle w:val="2"/>
        <w:ind w:left="-284" w:right="-427" w:firstLine="426"/>
      </w:pPr>
      <w:r>
        <w:t>Постановление и.о. мирового судьи судебного участка № 219 Академического район</w:t>
      </w:r>
      <w:r>
        <w:t>а г.Москвы - мирового судьи судебного участка № 215 Ломоносовского района г. Москвы от 23 декабря 2016 года, которым прекращено производство по делу об административном правонарушении, предусмотренном ст.19.7 КоАП РФ в отношении ПАО «Сбербанк России» – ост</w:t>
      </w:r>
      <w:r>
        <w:t>авить без изменения, жалобу Санкт-Петербургской таможни Северо-Западного таможенного управления Федеральной таможенной службы – без удовлетворения.</w:t>
      </w:r>
    </w:p>
    <w:p w14:paraId="5B7126BC" w14:textId="77777777" w:rsidR="008932EB" w:rsidRDefault="005857DF" w:rsidP="008932EB">
      <w:pPr>
        <w:pStyle w:val="a3"/>
        <w:ind w:left="-284" w:right="-427" w:firstLine="426"/>
        <w:rPr>
          <w:szCs w:val="24"/>
        </w:rPr>
      </w:pPr>
      <w:r>
        <w:rPr>
          <w:szCs w:val="24"/>
        </w:rPr>
        <w:t xml:space="preserve">Решение может быть обжаловано в соответствии с требованиями главы 30 КоАП РФ. </w:t>
      </w:r>
    </w:p>
    <w:p w14:paraId="1EE7D7BC" w14:textId="77777777" w:rsidR="008932EB" w:rsidRDefault="005857DF" w:rsidP="008932EB">
      <w:pPr>
        <w:ind w:left="-284" w:right="-427" w:firstLine="426"/>
      </w:pPr>
    </w:p>
    <w:p w14:paraId="3F4C0E2E" w14:textId="77777777" w:rsidR="008932EB" w:rsidRDefault="005857DF" w:rsidP="008932EB">
      <w:pPr>
        <w:ind w:left="-284" w:right="-427" w:firstLine="426"/>
      </w:pPr>
      <w:r>
        <w:t xml:space="preserve">Судья                       </w:t>
      </w:r>
      <w:r>
        <w:t xml:space="preserve">                                                                                     Басихина Т.В.</w:t>
      </w:r>
    </w:p>
    <w:p w14:paraId="63C8CE1B" w14:textId="77777777" w:rsidR="00B270D5" w:rsidRDefault="005857DF"/>
    <w:sectPr w:rsidR="00B2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32EB"/>
    <w:rsid w:val="0058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FAF5FC"/>
  <w15:chartTrackingRefBased/>
  <w15:docId w15:val="{0E436021-EFB1-486F-AD35-46A1447B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932E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932EB"/>
    <w:pPr>
      <w:jc w:val="both"/>
    </w:pPr>
    <w:rPr>
      <w:szCs w:val="20"/>
    </w:rPr>
  </w:style>
  <w:style w:type="character" w:customStyle="1" w:styleId="a4">
    <w:name w:val="Основной текст Знак"/>
    <w:link w:val="a3"/>
    <w:rsid w:val="008932EB"/>
    <w:rPr>
      <w:sz w:val="24"/>
    </w:rPr>
  </w:style>
  <w:style w:type="paragraph" w:styleId="2">
    <w:name w:val="Body Text Indent 2"/>
    <w:basedOn w:val="a"/>
    <w:link w:val="20"/>
    <w:unhideWhenUsed/>
    <w:rsid w:val="008932EB"/>
    <w:pPr>
      <w:ind w:firstLine="708"/>
      <w:jc w:val="both"/>
    </w:pPr>
  </w:style>
  <w:style w:type="character" w:customStyle="1" w:styleId="20">
    <w:name w:val="Основной текст с отступом 2 Знак"/>
    <w:link w:val="2"/>
    <w:rsid w:val="008932EB"/>
    <w:rPr>
      <w:sz w:val="24"/>
      <w:szCs w:val="24"/>
    </w:rPr>
  </w:style>
  <w:style w:type="character" w:styleId="a5">
    <w:name w:val="Hyperlink"/>
    <w:uiPriority w:val="99"/>
    <w:unhideWhenUsed/>
    <w:rsid w:val="008932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C9A289EF41430C5B4835E3DA5231AF9E2DAE26FC2B522C4A03D60C7AC3A3FA83B7F22F7348F325BFBcBF" TargetMode="External"/><Relationship Id="rId13" Type="http://schemas.openxmlformats.org/officeDocument/2006/relationships/hyperlink" Target="consultantplus://offline/ref=CC9A289EF41430C5B4835E3DA5231AF9E2DAE166C2B522C4A03D60C7ACF3cAF" TargetMode="External"/><Relationship Id="rId18" Type="http://schemas.openxmlformats.org/officeDocument/2006/relationships/hyperlink" Target="consultantplus://offline/ref=CC9A289EF41430C5B4835E3DA5231AF9E2DAE26FC2B522C4A03D60C7AC3A3FA83B7F22F7348F325BFBcBF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CC9A289EF41430C5B4835E3DA5231AF9E2D3E866C3B322C4A03D60C7ACF3cAF" TargetMode="External"/><Relationship Id="rId7" Type="http://schemas.openxmlformats.org/officeDocument/2006/relationships/hyperlink" Target="consultantplus://offline/ref=CC9A289EF41430C5B4835E3DA5231AF9E2DAE665C6B022C4A03D60C7AC3A3FA83B7F22F7348C3C5CFBc7F" TargetMode="External"/><Relationship Id="rId12" Type="http://schemas.openxmlformats.org/officeDocument/2006/relationships/hyperlink" Target="consultantplus://offline/ref=CC9A289EF41430C5B4835E3DA5231AF9E2DAE166C2B522C4A03D60C7AC3A3FA83B7F22F7348C3651FBcBF" TargetMode="External"/><Relationship Id="rId17" Type="http://schemas.openxmlformats.org/officeDocument/2006/relationships/hyperlink" Target="consultantplus://offline/ref=CC9A289EF41430C5B4835E3DA5231AF9E2DAE26FC2B522C4A03D60C7AC3A3FA83B7F22F7348F325BFBcF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CC9A289EF41430C5B4835E3DA5231AF9E2DAE665C6B022C4A03D60C7AC3A3FA83B7F22F7348E3351FBcAF" TargetMode="External"/><Relationship Id="rId20" Type="http://schemas.openxmlformats.org/officeDocument/2006/relationships/hyperlink" Target="consultantplus://offline/ref=CC9A289EF41430C5B4835E3DA5231AF9E2D3E265C0B422C4A03D60C7ACF3cAF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CC9A289EF41430C5B4835E3DA5231AF9E2DAE665C6B022C4A03D60C7AC3A3FA83B7F22F7348E3351FBcDF" TargetMode="External"/><Relationship Id="rId11" Type="http://schemas.openxmlformats.org/officeDocument/2006/relationships/hyperlink" Target="consultantplus://offline/ref=CC9A289EF41430C5B4835E3DA5231AF9E2DAE166C2B522C4A03D60C7AC3A3FA83B7F22F7348C375EFBc7F" TargetMode="External"/><Relationship Id="rId24" Type="http://schemas.openxmlformats.org/officeDocument/2006/relationships/fontTable" Target="fontTable.xml"/><Relationship Id="rId5" Type="http://schemas.openxmlformats.org/officeDocument/2006/relationships/hyperlink" Target="consultantplus://offline/ref=CC9A289EF41430C5B4835E3DA5231AF9E2DAE166C2B522C4A03D60C7AC3A3FA83B7F22F7348F335AFBcAF" TargetMode="External"/><Relationship Id="rId15" Type="http://schemas.openxmlformats.org/officeDocument/2006/relationships/hyperlink" Target="consultantplus://offline/ref=CC9A289EF41430C5B4835E3DA5231AF9E2DAE665C6B022C4A03D60C7ACF3cAF" TargetMode="External"/><Relationship Id="rId23" Type="http://schemas.openxmlformats.org/officeDocument/2006/relationships/hyperlink" Target="consultantplus://offline/ref=CC9A289EF41430C5B4835E3DA5231AF9E2DAE166C2B522C4A03D60C7AC3A3FA83B7F22F7348F335AFBcAF" TargetMode="External"/><Relationship Id="rId10" Type="http://schemas.openxmlformats.org/officeDocument/2006/relationships/hyperlink" Target="consultantplus://offline/ref=CC9A289EF41430C5B4835E3DA5231AF9E2DAE166C2B522C4A03D60C7AC3A3FA83B7F22F7348F335AFBcAF" TargetMode="External"/><Relationship Id="rId19" Type="http://schemas.openxmlformats.org/officeDocument/2006/relationships/hyperlink" Target="consultantplus://offline/ref=CC9A289EF41430C5B4835E3DA5231AF9E2DAE26FC2B522C4A03D60C7AC3A3FA83B7F22F7348F325BFBc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C9A289EF41430C5B4835E3DA5231AF9E2DAE166C2B522C4A03D60C7AC3A3FA83B7F22F7348C3750FBcCF" TargetMode="External"/><Relationship Id="rId14" Type="http://schemas.openxmlformats.org/officeDocument/2006/relationships/hyperlink" Target="consultantplus://offline/ref=CC9A289EF41430C5B4835E3DA5231AF9E2DAE166C2B522C4A03D60C7AC3A3FA83B7F22F7348F335AFBcAF" TargetMode="External"/><Relationship Id="rId22" Type="http://schemas.openxmlformats.org/officeDocument/2006/relationships/hyperlink" Target="consultantplus://offline/ref=CC9A289EF41430C5B4835E3DA5231AF9E2DAE166C2B522C4A03D60C7AC3A3FA83B7F22F5368EF3c3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1887</Words>
  <Characters>10757</Characters>
  <Application>Microsoft Office Word</Application>
  <DocSecurity>0</DocSecurity>
  <Lines>89</Lines>
  <Paragraphs>25</Paragraphs>
  <ScaleCrop>false</ScaleCrop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