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DD94CB" w14:textId="77777777" w:rsidR="00000000" w:rsidRDefault="00ED7A44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77RS0009-02-2022-012879-40</w:t>
      </w:r>
    </w:p>
    <w:p w14:paraId="48A2205D" w14:textId="77777777" w:rsidR="00000000" w:rsidRDefault="00ED7A44">
      <w:pPr>
        <w:jc w:val="center"/>
        <w:rPr>
          <w:lang w:val="en-BE" w:eastAsia="en-BE" w:bidi="ar-SA"/>
        </w:rPr>
      </w:pPr>
    </w:p>
    <w:p w14:paraId="0EC069DA" w14:textId="77777777" w:rsidR="00000000" w:rsidRDefault="00ED7A4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ОПРЕДЕЛЕНИЕ</w:t>
      </w:r>
    </w:p>
    <w:p w14:paraId="06A9906A" w14:textId="77777777" w:rsidR="00000000" w:rsidRDefault="00ED7A44">
      <w:pPr>
        <w:jc w:val="both"/>
        <w:rPr>
          <w:lang w:val="en-BE" w:eastAsia="en-BE" w:bidi="ar-SA"/>
        </w:rPr>
      </w:pPr>
    </w:p>
    <w:p w14:paraId="3215D92C" w14:textId="77777777" w:rsidR="00000000" w:rsidRDefault="00ED7A4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17 ноября 2022 года  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0B393C56" w14:textId="77777777" w:rsidR="00000000" w:rsidRDefault="00ED7A44">
      <w:pPr>
        <w:ind w:firstLine="708"/>
        <w:jc w:val="both"/>
        <w:rPr>
          <w:lang w:val="en-BE" w:eastAsia="en-BE" w:bidi="ar-SA"/>
        </w:rPr>
      </w:pPr>
    </w:p>
    <w:p w14:paraId="2DCC706E" w14:textId="77777777" w:rsidR="00000000" w:rsidRDefault="00ED7A4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Е.Ю. Игнатьевой,  при сек</w:t>
      </w:r>
      <w:r>
        <w:rPr>
          <w:lang w:val="en-BE" w:eastAsia="en-BE" w:bidi="ar-SA"/>
        </w:rPr>
        <w:t xml:space="preserve">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70206DA" w14:textId="77777777" w:rsidR="00000000" w:rsidRDefault="00ED7A4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участием представителя заявителя по доверенности –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3CD9956" w14:textId="77777777" w:rsidR="00000000" w:rsidRDefault="00ED7A4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заявление Публичного акционерного общества «Сбербанк России» в лице филиала – Московского банка ПАО Сбербанк о выдаче дубликата исполнительного л</w:t>
      </w:r>
      <w:r>
        <w:rPr>
          <w:lang w:val="en-BE" w:eastAsia="en-BE" w:bidi="ar-SA"/>
        </w:rPr>
        <w:t>иста, восстановлении срока для предъявления исполнительного листа к исполнению по гражданскому делу  № 2-425/2019 по иску Публичного акционерного общества «Сбербанк России» в лице филиала – Московского банка ПАО Сбербанк к Обществу с ограниченной ответстве</w:t>
      </w:r>
      <w:r>
        <w:rPr>
          <w:lang w:val="en-BE" w:eastAsia="en-BE" w:bidi="ar-SA"/>
        </w:rPr>
        <w:t>нностью «Хэдлайнгрупп», Гилядову Михаилу Альбертовичу о взыскании суммы задолженности по кредитному договору,</w:t>
      </w:r>
    </w:p>
    <w:p w14:paraId="41803E4D" w14:textId="77777777" w:rsidR="00000000" w:rsidRDefault="00ED7A4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FE2E371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Зюзинского районного суда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19 февраля 2019 года, в редакции определения суда от 27 августа 2019 года об исправлении оп</w:t>
      </w:r>
      <w:r>
        <w:rPr>
          <w:lang w:val="en-BE" w:eastAsia="en-BE" w:bidi="ar-SA"/>
        </w:rPr>
        <w:t>иски в решении суда, постановлено: Исковые требования Публичного акционерного общества «Сбербанк России» в лице филиала – Московского банка ПАО Сбербанк к Обществу с ограниченной ответственностью «Хэдлайнгрупп», Гилядову Михаилу Альбертовичу о взыскании су</w:t>
      </w:r>
      <w:r>
        <w:rPr>
          <w:lang w:val="en-BE" w:eastAsia="en-BE" w:bidi="ar-SA"/>
        </w:rPr>
        <w:t>ммы задолженности по кредитному договору удовлетворить. Взыскать солидарно с Общества с ограниченной ответственностью «Хэдлайнгрупп», Гилядова Михаила Альбертовича в пользу Публичного акционерного общества «Сбербанк России» в лице филиала – Московского бан</w:t>
      </w:r>
      <w:r>
        <w:rPr>
          <w:lang w:val="en-BE" w:eastAsia="en-BE" w:bidi="ar-SA"/>
        </w:rPr>
        <w:t xml:space="preserve">ка ПАО Сбербанк задолженность по кредитному договору в сумме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rStyle w:val="cat-Sumgrp-13rplc-11"/>
          <w:lang w:val="en-BE" w:eastAsia="en-BE" w:bidi="ar-SA"/>
        </w:rPr>
        <w:t>сумма</w:t>
      </w:r>
    </w:p>
    <w:p w14:paraId="6E3C4D39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вступило в законную силу 27 марта 2019 года.</w:t>
      </w:r>
    </w:p>
    <w:p w14:paraId="1A6B888F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11.02.2021 взыскатель ПАО «Сбербанк России» в лице филиала – Московско</w:t>
      </w:r>
      <w:r>
        <w:rPr>
          <w:lang w:val="en-BE" w:eastAsia="en-BE" w:bidi="ar-SA"/>
        </w:rPr>
        <w:t xml:space="preserve">го банка ПАО Сбербанк обратился в суд с заявлением о выдаче дубликата исполнительного листа в отношении должника </w:t>
      </w:r>
      <w:r>
        <w:rPr>
          <w:rStyle w:val="cat-FIOgrp-8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, мотивируя тем, что исполнительный лист серии ФС № 030076149 в отношении должника </w:t>
      </w:r>
      <w:r>
        <w:rPr>
          <w:rStyle w:val="cat-FIOgrp-8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находился на исполнении в Тропарево-Никулинском ОСП У</w:t>
      </w:r>
      <w:r>
        <w:rPr>
          <w:lang w:val="en-BE" w:eastAsia="en-BE" w:bidi="ar-SA"/>
        </w:rPr>
        <w:t xml:space="preserve">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>, было возбуждено исполнительное производство № 52374/19/77027-ИП от 23.07.2019. Исполнительное производство № 52374/19/77027-ИП от 23.07.2019 было окончено 21.11.2019, исполнительный лист серии ФС № 030076149 в адрес взыскателя не пост</w:t>
      </w:r>
      <w:r>
        <w:rPr>
          <w:lang w:val="en-BE" w:eastAsia="en-BE" w:bidi="ar-SA"/>
        </w:rPr>
        <w:t xml:space="preserve">упал. Согласно справки Тропарево-Никулинского ОСП УФССП России по </w:t>
      </w:r>
      <w:r>
        <w:rPr>
          <w:rStyle w:val="cat-Addressgrp-2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02.02.2021 исполнительный документ в ОСП отсутствует. В ходе проведенных розыскных мероприятий выявлено, что исполнительный лист серии ФС № 030076149 в отношении должника </w:t>
      </w:r>
      <w:r>
        <w:rPr>
          <w:rStyle w:val="cat-FIOgrp-8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адре</w:t>
      </w:r>
      <w:r>
        <w:rPr>
          <w:lang w:val="en-BE" w:eastAsia="en-BE" w:bidi="ar-SA"/>
        </w:rPr>
        <w:t>с взыскателя не поступал, что подтверждается письмом от 28.01.2021 № 199-02-13/10. Также 11.02.2021 взыскатель ПАО «Сбербанк России» в лице филиала – Московского банка ПАО Сбербанк обратился в суд с заявлением о восстановлении срока для предъявления исполн</w:t>
      </w:r>
      <w:r>
        <w:rPr>
          <w:lang w:val="en-BE" w:eastAsia="en-BE" w:bidi="ar-SA"/>
        </w:rPr>
        <w:t>ительного листа к исполнению, ссылаясь на те же обстоятельства.</w:t>
      </w:r>
    </w:p>
    <w:p w14:paraId="2A628B60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заявителя ПАО «Сбербанк России» в лице филиала – Московского банка ПАО Сбербанк по доверенности </w:t>
      </w:r>
      <w:r>
        <w:rPr>
          <w:rStyle w:val="cat-FIOgrp-9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заявления поддержал.</w:t>
      </w:r>
    </w:p>
    <w:p w14:paraId="2189A8E9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Заинтересованное лицо Гилядо</w:t>
      </w:r>
      <w:r>
        <w:rPr>
          <w:lang w:val="en-BE" w:eastAsia="en-BE" w:bidi="ar-SA"/>
        </w:rPr>
        <w:t>в М.А. в судебное заседание не явился, о дате, времени и месте слушания дела извещался надлежащим образом по последнему известному месту жительства в порядке ст. 119 ГПК РФ.</w:t>
      </w:r>
    </w:p>
    <w:p w14:paraId="3921AD9D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Выслушав представителя заявителя, исследовав письменные материалы дела, суд находи</w:t>
      </w:r>
      <w:r>
        <w:rPr>
          <w:lang w:val="en-BE" w:eastAsia="en-BE" w:bidi="ar-SA"/>
        </w:rPr>
        <w:t>т заявления обоснованными и подлежащими удовлетворению по следующим основаниям.</w:t>
      </w:r>
    </w:p>
    <w:p w14:paraId="5C0E3800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430</w:t>
        </w:r>
      </w:hyperlink>
      <w:r>
        <w:rPr>
          <w:lang w:val="en-BE" w:eastAsia="en-BE" w:bidi="ar-SA"/>
        </w:rPr>
        <w:t xml:space="preserve"> ГПК РФ в случае утраты подлинника исп</w:t>
      </w:r>
      <w:r>
        <w:rPr>
          <w:lang w:val="en-BE" w:eastAsia="en-BE" w:bidi="ar-SA"/>
        </w:rPr>
        <w:t>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28873B48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 выдаче дубликата</w:t>
      </w:r>
      <w:r>
        <w:rPr>
          <w:lang w:val="en-BE" w:eastAsia="en-BE" w:bidi="ar-SA"/>
        </w:rPr>
        <w:t xml:space="preserve">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</w:t>
      </w:r>
      <w:r>
        <w:rPr>
          <w:lang w:val="en-BE" w:eastAsia="en-BE" w:bidi="ar-SA"/>
        </w:rPr>
        <w:t>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</w:t>
      </w:r>
      <w:r>
        <w:rPr>
          <w:lang w:val="en-BE" w:eastAsia="en-BE" w:bidi="ar-SA"/>
        </w:rPr>
        <w:t>чение месяца со дня, когда взыскателю стало известно об утрате исполнительного документа.</w:t>
      </w:r>
    </w:p>
    <w:p w14:paraId="66FA067B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8" w:history="1">
        <w:r>
          <w:rPr>
            <w:color w:val="0000EE"/>
            <w:lang w:val="en-BE" w:eastAsia="en-BE" w:bidi="ar-SA"/>
          </w:rPr>
          <w:t>части 1 статьи 432</w:t>
        </w:r>
      </w:hyperlink>
      <w:r>
        <w:rPr>
          <w:lang w:val="en-BE" w:eastAsia="en-BE" w:bidi="ar-SA"/>
        </w:rPr>
        <w:t xml:space="preserve"> ГПК РФ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</w:p>
    <w:p w14:paraId="20D787E9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Аналогичное</w:t>
      </w:r>
      <w:r>
        <w:rPr>
          <w:lang w:val="en-BE" w:eastAsia="en-BE" w:bidi="ar-SA"/>
        </w:rPr>
        <w:t xml:space="preserve"> положение установлено </w:t>
      </w:r>
      <w:hyperlink r:id="rId9" w:history="1">
        <w:r>
          <w:rPr>
            <w:color w:val="0000EE"/>
            <w:lang w:val="en-BE" w:eastAsia="en-BE" w:bidi="ar-SA"/>
          </w:rPr>
          <w:t>частью 1 статьи 22</w:t>
        </w:r>
      </w:hyperlink>
      <w:r>
        <w:rPr>
          <w:lang w:val="en-BE" w:eastAsia="en-BE" w:bidi="ar-SA"/>
        </w:rPr>
        <w:t xml:space="preserve"> Федерального закона "Об исполнительном производств</w:t>
      </w:r>
      <w:r>
        <w:rPr>
          <w:lang w:val="en-BE" w:eastAsia="en-BE" w:bidi="ar-SA"/>
        </w:rPr>
        <w:t>е".</w:t>
      </w:r>
    </w:p>
    <w:p w14:paraId="0785A65A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hyperlink r:id="rId10" w:history="1">
        <w:r>
          <w:rPr>
            <w:color w:val="0000EE"/>
            <w:lang w:val="en-BE" w:eastAsia="en-BE" w:bidi="ar-SA"/>
          </w:rPr>
          <w:t>ч. ч. 2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 ст. 22</w:t>
        </w:r>
      </w:hyperlink>
      <w:r>
        <w:rPr>
          <w:lang w:val="en-BE" w:eastAsia="en-BE" w:bidi="ar-SA"/>
        </w:rPr>
        <w:t xml:space="preserve"> Федерального закона "Об исполнительном производстве" после перерыва течение срока предъявления исполнительного документа к исполнению возобновляется.</w:t>
      </w:r>
      <w:r>
        <w:rPr>
          <w:lang w:val="en-BE" w:eastAsia="en-BE" w:bidi="ar-SA"/>
        </w:rPr>
        <w:t xml:space="preserve"> Время, истекшее до прерывания срока, в новый срок не засчитывается.</w:t>
      </w:r>
    </w:p>
    <w:p w14:paraId="2D4B80B8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2" w:history="1">
        <w:r>
          <w:rPr>
            <w:color w:val="0000EE"/>
            <w:lang w:val="en-BE" w:eastAsia="en-BE" w:bidi="ar-SA"/>
          </w:rPr>
          <w:t>ч. 2 ст. 432</w:t>
        </w:r>
      </w:hyperlink>
      <w:r>
        <w:rPr>
          <w:lang w:val="en-BE" w:eastAsia="en-BE" w:bidi="ar-SA"/>
        </w:rPr>
        <w:t xml:space="preserve"> Г</w:t>
      </w:r>
      <w:r>
        <w:rPr>
          <w:lang w:val="en-BE" w:eastAsia="en-BE" w:bidi="ar-SA"/>
        </w:rPr>
        <w:t>ПК РФ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 w14:paraId="4495EB42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3" w:history="1">
        <w:r>
          <w:rPr>
            <w:color w:val="0000EE"/>
            <w:lang w:val="en-BE" w:eastAsia="en-BE" w:bidi="ar-SA"/>
          </w:rPr>
          <w:t>пп. 4</w:t>
        </w:r>
      </w:hyperlink>
      <w:r>
        <w:rPr>
          <w:lang w:val="en-BE" w:eastAsia="en-BE" w:bidi="ar-SA"/>
        </w:rPr>
        <w:t xml:space="preserve"> </w:t>
      </w:r>
      <w:hyperlink r:id="rId14" w:history="1">
        <w:r>
          <w:rPr>
            <w:color w:val="0000EE"/>
            <w:lang w:val="en-BE" w:eastAsia="en-BE" w:bidi="ar-SA"/>
          </w:rPr>
          <w:t>п. 2 ст. 46</w:t>
        </w:r>
      </w:hyperlink>
      <w:r>
        <w:rPr>
          <w:lang w:val="en-BE" w:eastAsia="en-BE" w:bidi="ar-SA"/>
        </w:rPr>
        <w:t xml:space="preserve"> ФЗ Закона "Об исполнительном производстве" возвращение взыскателю исполнительного документа не является препятствием для повторного предъявления исполнительного документа к исполнению в пределах срок</w:t>
      </w:r>
      <w:r>
        <w:rPr>
          <w:lang w:val="en-BE" w:eastAsia="en-BE" w:bidi="ar-SA"/>
        </w:rPr>
        <w:t xml:space="preserve">а, установленного </w:t>
      </w:r>
      <w:hyperlink r:id="rId15" w:history="1">
        <w:r>
          <w:rPr>
            <w:color w:val="0000EE"/>
            <w:lang w:val="en-BE" w:eastAsia="en-BE" w:bidi="ar-SA"/>
          </w:rPr>
          <w:t>ст. 21</w:t>
        </w:r>
      </w:hyperlink>
      <w:r>
        <w:rPr>
          <w:lang w:val="en-BE" w:eastAsia="en-BE" w:bidi="ar-SA"/>
        </w:rPr>
        <w:t xml:space="preserve"> настоящего Федерального закона.</w:t>
      </w:r>
    </w:p>
    <w:p w14:paraId="466F29B4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реш</w:t>
      </w:r>
      <w:r>
        <w:rPr>
          <w:lang w:val="en-BE" w:eastAsia="en-BE" w:bidi="ar-SA"/>
        </w:rPr>
        <w:t xml:space="preserve">ением Зюзинского районного суда </w:t>
      </w:r>
      <w:r>
        <w:rPr>
          <w:rStyle w:val="cat-Addressgrp-2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19 февраля 2019 года, в редакции определения суда от 27 августа 2019 года об исправлении описки в решении суда, постановлено: Исковые требования Публичного акционерного общества «Сбербанк России» в лице филиала – Мо</w:t>
      </w:r>
      <w:r>
        <w:rPr>
          <w:lang w:val="en-BE" w:eastAsia="en-BE" w:bidi="ar-SA"/>
        </w:rPr>
        <w:t>сковского банка ПАО Сбербанк к Обществу с ограниченной ответственностью «Хэдлайнгрупп», Гилядову Михаилу Альбертовичу о взыскании суммы задолженности по кредитному договору удовлетворить. Взыскать солидарно с Общества с ограниченной ответственностью «Хэдла</w:t>
      </w:r>
      <w:r>
        <w:rPr>
          <w:lang w:val="en-BE" w:eastAsia="en-BE" w:bidi="ar-SA"/>
        </w:rPr>
        <w:t xml:space="preserve">йнгрупп», Гилядова Михаила Альбертовича в пользу Публичного акционерного общества «Сбербанк России» в лице филиала – Московского банка ПАО Сбербанк задолженность по кредитному договору в сумме </w:t>
      </w:r>
      <w:r>
        <w:rPr>
          <w:rStyle w:val="cat-Sumgrp-1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rStyle w:val="cat-Sumgrp-13rplc-24"/>
          <w:lang w:val="en-BE" w:eastAsia="en-BE" w:bidi="ar-SA"/>
        </w:rPr>
        <w:t>су</w:t>
      </w:r>
      <w:r>
        <w:rPr>
          <w:rStyle w:val="cat-Sumgrp-13rplc-24"/>
          <w:lang w:val="en-BE" w:eastAsia="en-BE" w:bidi="ar-SA"/>
        </w:rPr>
        <w:t>мма</w:t>
      </w:r>
    </w:p>
    <w:p w14:paraId="319FB95B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вступило в законную силу 27 марта 2019 года.</w:t>
      </w:r>
    </w:p>
    <w:p w14:paraId="57969F2A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Для исполнения решения Зюзинским районным судом </w:t>
      </w:r>
      <w:r>
        <w:rPr>
          <w:rStyle w:val="cat-Addressgrp-2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выдан исполнительный документ: исполнительный лист серии ФС № 030076149, дата выдачи 13.06.2019, в отношении </w:t>
      </w:r>
      <w:r>
        <w:rPr>
          <w:rStyle w:val="cat-FIOgrp-8rplc-26"/>
          <w:lang w:val="en-BE" w:eastAsia="en-BE" w:bidi="ar-SA"/>
        </w:rPr>
        <w:t>фио</w:t>
      </w:r>
    </w:p>
    <w:p w14:paraId="4864F68F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справки Тропарево-</w:t>
      </w:r>
      <w:r>
        <w:rPr>
          <w:lang w:val="en-BE" w:eastAsia="en-BE" w:bidi="ar-SA"/>
        </w:rPr>
        <w:t xml:space="preserve">Никулинского ОСП УФССП России по </w:t>
      </w:r>
      <w:r>
        <w:rPr>
          <w:rStyle w:val="cat-Addressgrp-2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02.02.2021 исполнительный лист серии ФС № 030076149 в отношении должника </w:t>
      </w:r>
      <w:r>
        <w:rPr>
          <w:rStyle w:val="cat-FIOgrp-8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находился на исполнении в Тропарево-Никулинском ОСП УФССП России по </w:t>
      </w:r>
      <w:r>
        <w:rPr>
          <w:rStyle w:val="cat-Addressgrp-2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было </w:t>
      </w:r>
      <w:r>
        <w:rPr>
          <w:lang w:val="en-BE" w:eastAsia="en-BE" w:bidi="ar-SA"/>
        </w:rPr>
        <w:lastRenderedPageBreak/>
        <w:t>возбуждено исполнительное производство № 52374/19/77027-И</w:t>
      </w:r>
      <w:r>
        <w:rPr>
          <w:lang w:val="en-BE" w:eastAsia="en-BE" w:bidi="ar-SA"/>
        </w:rPr>
        <w:t>П от 23.07.2019. Исполнительное производство № 52374/19/77027-ИП от 23.07.2019 было окончено 21.11.2019 на основании п. 3 ч. 1 ст. 46 ФЗ «Об исполнительном производстве». Исполнительный документ в ОСП отсутствует, сведений о направлении исполнительного док</w:t>
      </w:r>
      <w:r>
        <w:rPr>
          <w:lang w:val="en-BE" w:eastAsia="en-BE" w:bidi="ar-SA"/>
        </w:rPr>
        <w:t xml:space="preserve">умента в адрес взыскателя не имеется. Таким образом, имеются основания полагать, что исполнительный документ – исполнительный лист ФС № 030076149 в отношении должника </w:t>
      </w:r>
      <w:r>
        <w:rPr>
          <w:rStyle w:val="cat-FIOgrp-8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утрачен. </w:t>
      </w:r>
    </w:p>
    <w:p w14:paraId="64539FCB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проведенных розыскных мероприятий выявлено, что исполнительный лист </w:t>
      </w:r>
      <w:r>
        <w:rPr>
          <w:lang w:val="en-BE" w:eastAsia="en-BE" w:bidi="ar-SA"/>
        </w:rPr>
        <w:t xml:space="preserve">серии ФС № 030076149 в отношении должника </w:t>
      </w:r>
      <w:r>
        <w:rPr>
          <w:rStyle w:val="cat-FIOgrp-8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адрес взыскателя не поступал, что подтверждается письмом от 28.01.2021 № 199-02-13/10, выданным сервисным центром «Документооборот» ОСЦ «Москва» ПЦП ДЦП.</w:t>
      </w:r>
    </w:p>
    <w:p w14:paraId="77261266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приходит к выводу о том, что исполн</w:t>
      </w:r>
      <w:r>
        <w:rPr>
          <w:lang w:val="en-BE" w:eastAsia="en-BE" w:bidi="ar-SA"/>
        </w:rPr>
        <w:t xml:space="preserve">ительный лист серии ФС № 030076149 в отношении должника </w:t>
      </w:r>
      <w:r>
        <w:rPr>
          <w:rStyle w:val="cat-FIOgrp-8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утрачен, срок для обращения с заявлением о выдаче дубликата исполнительного листа заявителем не пропущен, а потому суд полагает возможным выдать дубликат исполнительного листа в отношении должника</w:t>
      </w:r>
      <w:r>
        <w:rPr>
          <w:lang w:val="en-BE" w:eastAsia="en-BE" w:bidi="ar-SA"/>
        </w:rPr>
        <w:t xml:space="preserve"> </w:t>
      </w:r>
      <w:r>
        <w:rPr>
          <w:rStyle w:val="cat-FIOgrp-8rplc-33"/>
          <w:lang w:val="en-BE" w:eastAsia="en-BE" w:bidi="ar-SA"/>
        </w:rPr>
        <w:t>фио</w:t>
      </w:r>
    </w:p>
    <w:p w14:paraId="0A9CC33A" w14:textId="77777777" w:rsidR="00000000" w:rsidRDefault="00ED7A4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внимание, что срок предъявления исполнительного документа к исполнению на дату рассмотрения заявления истек, имеются основания для удовлетворения заявления в части суд восстановления пропущенного по уважительной причине срока предъявления </w:t>
      </w:r>
      <w:r>
        <w:rPr>
          <w:lang w:val="en-BE" w:eastAsia="en-BE" w:bidi="ar-SA"/>
        </w:rPr>
        <w:t>исполнительного листа к принудительному исполнению.</w:t>
      </w:r>
    </w:p>
    <w:p w14:paraId="3AFA3866" w14:textId="77777777" w:rsidR="00000000" w:rsidRDefault="00ED7A4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431, 432, 224, 225  ГПК РФ, суд                                               </w:t>
      </w:r>
    </w:p>
    <w:p w14:paraId="2C5280F7" w14:textId="77777777" w:rsidR="00000000" w:rsidRDefault="00ED7A4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ОПРЕДЕЛИЛ:</w:t>
      </w:r>
    </w:p>
    <w:p w14:paraId="742A4A63" w14:textId="77777777" w:rsidR="00000000" w:rsidRDefault="00ED7A4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Публичного акционерного общества «Сбербанк России» в ли</w:t>
      </w:r>
      <w:r>
        <w:rPr>
          <w:lang w:val="en-BE" w:eastAsia="en-BE" w:bidi="ar-SA"/>
        </w:rPr>
        <w:t>це филиала – Московского банка ПАО Сбербанк о выдаче дубликата исполнительного листа, восстановлении срока для предъявления исполнительного листа к исполнению по гражданскому делу  № 2-425/2019 по иску Публичного акционерного общества «Сбербанк России» в л</w:t>
      </w:r>
      <w:r>
        <w:rPr>
          <w:lang w:val="en-BE" w:eastAsia="en-BE" w:bidi="ar-SA"/>
        </w:rPr>
        <w:t xml:space="preserve">ице филиала – Московского банка ПАО Сбербанк к Обществу с ограниченной ответственностью «Хэдлайнгрупп», Гилядову Михаилу Альбертовичу о взыскании суммы задолженности по кредитному договору удовлетворить. </w:t>
      </w:r>
    </w:p>
    <w:p w14:paraId="15749CD2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дубликат исполнительного листа по гражданско</w:t>
      </w:r>
      <w:r>
        <w:rPr>
          <w:lang w:val="en-BE" w:eastAsia="en-BE" w:bidi="ar-SA"/>
        </w:rPr>
        <w:t>му делу № 2-425/2019 по иску Публичного акционерного общества «Сбербанк России» в лице филиала – Московского банка ПАО Сбербанк к Обществу с ограниченной ответственностью «Хэдлайнгрупп», Гилядову Михаилу Альбертовичу о взыскании суммы задолженности по кред</w:t>
      </w:r>
      <w:r>
        <w:rPr>
          <w:lang w:val="en-BE" w:eastAsia="en-BE" w:bidi="ar-SA"/>
        </w:rPr>
        <w:t xml:space="preserve">итному договору в отношении должника Гилядова Михаила Альбертовича в пользу взыскателя Публичного акционерного общества «Сбербанк России» в лице филиала – Московского банка ПАО Сбербанк, предмет исполнения: задолженность в размере </w:t>
      </w:r>
      <w:r>
        <w:rPr>
          <w:rStyle w:val="cat-Sumgrp-13rplc-37"/>
          <w:lang w:val="en-BE" w:eastAsia="en-BE" w:bidi="ar-SA"/>
        </w:rPr>
        <w:t>сумма</w:t>
      </w:r>
    </w:p>
    <w:p w14:paraId="35B0EAA6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Восстановить Публич</w:t>
      </w:r>
      <w:r>
        <w:rPr>
          <w:lang w:val="en-BE" w:eastAsia="en-BE" w:bidi="ar-SA"/>
        </w:rPr>
        <w:t>ному акционерному обществу «Сбербанк России» в лице филиала – Московского банка ПАО Сбербанк срок для предъявления дубликата исполнительного листа по гражданскому делу № 2-425/2019 по иску Публичного акционерного общества «Сбербанк России» в лице филиала –</w:t>
      </w:r>
      <w:r>
        <w:rPr>
          <w:lang w:val="en-BE" w:eastAsia="en-BE" w:bidi="ar-SA"/>
        </w:rPr>
        <w:t xml:space="preserve"> Московского банка ПАО Сбербанк к Обществу с ограниченной ответственностью «Хэдлайнгрупп», Гилядову Михаилу Альбертовичу о взыскании суммы задолженности по кредитному договору в отношении должника Гилядова Михаила Альбертовича в пользу взыскателя Публичног</w:t>
      </w:r>
      <w:r>
        <w:rPr>
          <w:lang w:val="en-BE" w:eastAsia="en-BE" w:bidi="ar-SA"/>
        </w:rPr>
        <w:t xml:space="preserve">о акционерного общества «Сбербанк России» в лице филиала – Московского банка ПАО Сбербанк, предмет исполнения: задолженность в размере </w:t>
      </w:r>
      <w:r>
        <w:rPr>
          <w:rStyle w:val="cat-Sumgrp-13rplc-40"/>
          <w:lang w:val="en-BE" w:eastAsia="en-BE" w:bidi="ar-SA"/>
        </w:rPr>
        <w:t>сумма</w:t>
      </w:r>
    </w:p>
    <w:p w14:paraId="5F26AB49" w14:textId="77777777" w:rsidR="00000000" w:rsidRDefault="00ED7A4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определение может быть подана частная жалоба в Московский городской  суд через Зюзинский районный суд </w:t>
      </w:r>
      <w:r>
        <w:rPr>
          <w:rStyle w:val="cat-Addressgrp-1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</w:t>
      </w:r>
      <w:r>
        <w:rPr>
          <w:lang w:val="en-BE" w:eastAsia="en-BE" w:bidi="ar-SA"/>
        </w:rPr>
        <w:t>чение 15 (пятнадцати) дней.</w:t>
      </w:r>
    </w:p>
    <w:p w14:paraId="6985E636" w14:textId="77777777" w:rsidR="00000000" w:rsidRDefault="00ED7A4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0DD8586" w14:textId="77777777" w:rsidR="00000000" w:rsidRDefault="00ED7A4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</w:p>
    <w:sectPr w:rsidR="00000000">
      <w:headerReference w:type="default" r:id="rId16"/>
      <w:footerReference w:type="default" r:id="rId1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60BBF" w14:textId="77777777" w:rsidR="00000000" w:rsidRDefault="00ED7A44">
      <w:r>
        <w:separator/>
      </w:r>
    </w:p>
  </w:endnote>
  <w:endnote w:type="continuationSeparator" w:id="0">
    <w:p w14:paraId="0DE953A6" w14:textId="77777777" w:rsidR="00000000" w:rsidRDefault="00ED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C50B1" w14:textId="77777777" w:rsidR="00000000" w:rsidRDefault="00ED7A44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34903FD0" w14:textId="77777777" w:rsidR="00000000" w:rsidRDefault="00ED7A44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852B3" w14:textId="77777777" w:rsidR="00000000" w:rsidRDefault="00ED7A44">
      <w:r>
        <w:separator/>
      </w:r>
    </w:p>
  </w:footnote>
  <w:footnote w:type="continuationSeparator" w:id="0">
    <w:p w14:paraId="0AA88150" w14:textId="77777777" w:rsidR="00000000" w:rsidRDefault="00ED7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CB42" w14:textId="77777777" w:rsidR="00000000" w:rsidRDefault="00ED7A44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625D7579" w14:textId="77777777" w:rsidR="00000000" w:rsidRDefault="00ED7A44">
    <w:pPr>
      <w:ind w:right="360"/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A44"/>
    <w:rsid w:val="00E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A9FB715"/>
  <w15:chartTrackingRefBased/>
  <w15:docId w15:val="{2F7A3837-B542-486D-813B-9A7AE09E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FIOgrp-8rplc-12">
    <w:name w:val="cat-FIO grp-8 rplc-12"/>
    <w:basedOn w:val="a0"/>
  </w:style>
  <w:style w:type="character" w:customStyle="1" w:styleId="cat-FIOgrp-8rplc-13">
    <w:name w:val="cat-FIO grp-8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FIOgrp-8rplc-16">
    <w:name w:val="cat-FIO grp-8 rplc-16"/>
    <w:basedOn w:val="a0"/>
  </w:style>
  <w:style w:type="character" w:customStyle="1" w:styleId="cat-FIOgrp-9rplc-17">
    <w:name w:val="cat-FIO grp-9 rplc-17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Addressgrp-2rplc-25">
    <w:name w:val="cat-Address grp-2 rplc-25"/>
    <w:basedOn w:val="a0"/>
  </w:style>
  <w:style w:type="character" w:customStyle="1" w:styleId="cat-FIOgrp-8rplc-26">
    <w:name w:val="cat-FIO grp-8 rplc-26"/>
    <w:basedOn w:val="a0"/>
  </w:style>
  <w:style w:type="character" w:customStyle="1" w:styleId="cat-Addressgrp-2rplc-27">
    <w:name w:val="cat-Address grp-2 rplc-27"/>
    <w:basedOn w:val="a0"/>
  </w:style>
  <w:style w:type="character" w:customStyle="1" w:styleId="cat-FIOgrp-8rplc-28">
    <w:name w:val="cat-FIO grp-8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FIOgrp-8rplc-30">
    <w:name w:val="cat-FIO grp-8 rplc-30"/>
    <w:basedOn w:val="a0"/>
  </w:style>
  <w:style w:type="character" w:customStyle="1" w:styleId="cat-FIOgrp-8rplc-31">
    <w:name w:val="cat-FIO grp-8 rplc-31"/>
    <w:basedOn w:val="a0"/>
  </w:style>
  <w:style w:type="character" w:customStyle="1" w:styleId="cat-FIOgrp-8rplc-32">
    <w:name w:val="cat-FIO grp-8 rplc-32"/>
    <w:basedOn w:val="a0"/>
  </w:style>
  <w:style w:type="character" w:customStyle="1" w:styleId="cat-FIOgrp-8rplc-33">
    <w:name w:val="cat-FIO grp-8 rplc-33"/>
    <w:basedOn w:val="a0"/>
  </w:style>
  <w:style w:type="character" w:customStyle="1" w:styleId="cat-Sumgrp-13rplc-37">
    <w:name w:val="cat-Sum grp-13 rplc-37"/>
    <w:basedOn w:val="a0"/>
  </w:style>
  <w:style w:type="character" w:customStyle="1" w:styleId="cat-Sumgrp-13rplc-40">
    <w:name w:val="cat-Sum grp-13 rplc-40"/>
    <w:basedOn w:val="a0"/>
  </w:style>
  <w:style w:type="character" w:customStyle="1" w:styleId="cat-Addressgrp-1rplc-41">
    <w:name w:val="cat-Address grp-1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B47AD5A582D6A1E4604719B32686D9C4631BB2A430B42AB89257635BB18FEB3BB1FB9C635D7FAFC7633F60B8903027171740386CDBA6529J8JFN" TargetMode="External"/><Relationship Id="rId13" Type="http://schemas.openxmlformats.org/officeDocument/2006/relationships/hyperlink" Target="consultantplus://offline/ref=CB47AD5A582D6A1E4604719B32686D9C4739B626470842AB89257635BB18FEB3BB1FB9C635D5F9FD7733F60B8903027171740386CDBA6529J8JF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2C2E5AB8F435A7BE624E5DDFE9D6D5852D2E77EC90D5E9886CC5A958D8ADC00FD94243C52HAY1J" TargetMode="External"/><Relationship Id="rId12" Type="http://schemas.openxmlformats.org/officeDocument/2006/relationships/hyperlink" Target="consultantplus://offline/ref=CB47AD5A582D6A1E4604719B32686D9C4631BB2A430B42AB89257635BB18FEB3BB1FB9C635D7FAFC7533F60B8903027171740386CDBA6529J8JF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CB47AD5A582D6A1E4604719B32686D9C4739B626470842AB89257635BB18FEB3BB1FB9C635D5FBFC7033F60B8903027171740386CDBA6529J8JFN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CB47AD5A582D6A1E4604719B32686D9C4739B626470842AB89257635BB18FEB3BB1FB9C635D5FBFA7A33F60B8903027171740386CDBA6529J8JFN" TargetMode="External"/><Relationship Id="rId10" Type="http://schemas.openxmlformats.org/officeDocument/2006/relationships/hyperlink" Target="consultantplus://offline/ref=CB47AD5A582D6A1E4604719B32686D9C4739B626470842AB89257635BB18FEB3BB1FB9C635D5FBFC7133F60B8903027171740386CDBA6529J8JF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B47AD5A582D6A1E4604719B32686D9C4739B626470842AB89257635BB18FEB3BB1FB9C635D5FBFB7A33F60B8903027171740386CDBA6529J8JFN" TargetMode="External"/><Relationship Id="rId14" Type="http://schemas.openxmlformats.org/officeDocument/2006/relationships/hyperlink" Target="consultantplus://offline/ref=CB47AD5A582D6A1E4604719B32686D9C4739B626470842AB89257635BB18FEB3BB1FB9C530D2F1AC227CF757CF5F11737F740181D2JBJ1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