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8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Определение</w:t>
      </w:r>
    </w:p>
    <w:p>
      <w:pPr>
        <w:spacing w:before="0" w:after="0" w:line="280" w:lineRule="atLeast"/>
        <w:ind w:firstLine="709"/>
        <w:jc w:val="center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 июня 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Преображенский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районный суд г. Москвы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составе председательствующего федерального судьи Трофимовича К.Ю.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секретаре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Гуськовой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Ю.В.,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ассмотрев в открытом судебном заседании заявление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«Сбербанк России» в лице филиала - Московского банка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замене стороны правопреемником (о процессуальном правопреемстве) в исполнительном производстве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гражданскому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2-4918/07 по иску Акционерного коммерческого Сберегательного банка РФ (ОАО) Стромынское отделение № 5281 Сбербанка России к </w:t>
      </w:r>
      <w:r>
        <w:rPr>
          <w:rStyle w:val="cat-FIOgrp-5rplc-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9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6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7rplc-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8rplc-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 и взыскании солидарно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суд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становил:</w:t>
      </w:r>
    </w:p>
    <w:p>
      <w:pPr>
        <w:spacing w:before="0" w:after="0" w:line="280" w:lineRule="atLeast"/>
        <w:ind w:firstLine="709"/>
        <w:jc w:val="center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17 декабря 2007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 решением Преображенского районного суда </w:t>
      </w:r>
      <w:r>
        <w:rPr>
          <w:rStyle w:val="cat-Addressgrp-0rplc-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Акционерного коммерческого Сберегательного Банка РФ (ОАО) Стромынского отделения № 5281 Сбербанка России к </w:t>
      </w:r>
      <w:r>
        <w:rPr>
          <w:rStyle w:val="cat-FIOgrp-10rplc-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1rplc-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2rplc-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3rplc-1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4rplc-1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 и взыскании солидарно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удовлетворены.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15 ноября 2016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Преображенским районным судом </w:t>
      </w:r>
      <w:r>
        <w:rPr>
          <w:rStyle w:val="cat-Addressgrp-0rplc-1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было вынесено определение о выдаче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АО Сбербанк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отношении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1rplc-1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дубликата исполнительного листа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восстановлении срока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для предъявления исполнительного листа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исполнению.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Апелляционным определением судебной коллегии по гражданским делам Московского городского суда от 18 октября 2017 года определение Преображенского районного суда </w:t>
      </w:r>
      <w:r>
        <w:rPr>
          <w:rStyle w:val="cat-Addressgrp-1rplc-1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15 ноября 2016 года было оставлено без изменения, частная жалоба </w:t>
      </w:r>
      <w:r>
        <w:rPr>
          <w:rStyle w:val="cat-FIOgrp-11rplc-1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без удовлетворения.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декабря 2016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Преображенским районным судом </w:t>
      </w:r>
      <w:r>
        <w:rPr>
          <w:rStyle w:val="cat-Addressgrp-0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отношении ответчика </w:t>
      </w:r>
      <w:r>
        <w:rPr>
          <w:rStyle w:val="cat-FIOgrp-28rplc-1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Банку был выдан дубликат исполнительного листа ФС № 010114893.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«Сбербанк России» в лице филиала Московского банка ПАО Сбербанк обратилось с заявлением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замене стороны правопреемником (о процессуальном правопреемстве) в исполнительном производстве по 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2-4918/07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указывая на то, что ответчик по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5rplc-1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11 июля 2020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умер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 заявлением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принятии наследства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выдаче свидетельства о праве на наследство по закону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после смерти </w:t>
      </w:r>
      <w:r>
        <w:rPr>
          <w:rStyle w:val="cat-FIOgrp-11rplc-1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обратилась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жена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7rplc-2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6rplc-2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Сын - </w:t>
      </w:r>
      <w:r>
        <w:rPr>
          <w:rStyle w:val="cat-FIOgrp-18rplc-2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сын - </w:t>
      </w:r>
      <w:r>
        <w:rPr>
          <w:rStyle w:val="cat-FIOgrp-19rplc-2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отказались по всем основаниям наследования от причитающейся им доли на наследство, оставшегося после смерти отца,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20rplc-2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пользу его жены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Лайлы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Абдул-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Бакиевны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следует из копии наследственного дела № 44/2020, поступившей по запросу суда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аследственное имущество </w:t>
      </w:r>
      <w:r>
        <w:rPr>
          <w:rStyle w:val="cat-FIOgrp-11rplc-2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состоит из: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1/6 (одной шестой) доли квартиры, находящейся по адресу: </w:t>
      </w:r>
      <w:r>
        <w:rPr>
          <w:rStyle w:val="cat-Addressgrp-2rplc-2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(двадцать три), кв. 45 (сорок пять).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Кадастровый номер объекта - </w:t>
      </w:r>
      <w:r>
        <w:rPr>
          <w:rStyle w:val="cat-UserDefinedgrp-48rplc-28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объект принадлежал наследодателю на праве долевой собственности, дата регистрации 11 июля 2002 года, регистрационный номер 77-01/18-72/2002-1351, наименование государственного реестра, в котором зарегистрировано право: Московский городской комитет по государственной регистрации прав на недвижимое имущество и сделок с ним.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Кроме того, в наследственное имущество также входят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денежные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средства, внесенные в денежные вклады, хранящиеся в ПАО Сбербанк 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счетах № </w:t>
      </w:r>
      <w:r>
        <w:rPr>
          <w:rStyle w:val="cat-UserDefinedgrp-49rplc-29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UserDefinedgrp-51rplc-30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UserDefinedgrp-50rplc-31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причитающимися процентами и компенсациями.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связи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«Сбербанк России» в лице филиала Московского банка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просит произвести процессуа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льное правопреемство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2-4918/07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 </w:t>
      </w:r>
      <w:r>
        <w:rPr>
          <w:rStyle w:val="cat-FIOgrp-11rplc-3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</w:t>
      </w:r>
      <w:r>
        <w:rPr>
          <w:rStyle w:val="cat-FIOgrp-17rplc-3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6rplc-3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Стороны в судебное заседание не явились, о времени и месте судебного заседания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извещались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надлежащим образом,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чем суд полагает возможным рассмотреть заявление в отсутствие не явившихся лиц.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Исследовав и изучив материалы дела, а также доводы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заявления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«Сбербанк России» в лице филиала Московского банка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суд приходит к следующему.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"consultantplus://offline/ref=B4C5C70B08F88CC2EFE45EE77D94A2F2AEB2925B849CBEFDF77D561E81A071FE4742A70FDE1BD09BFBB6E09FB063ECCFCAE49530B09F813DDBI5I"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пункта 1 статьи 1175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Гражданского кодекса Российской Федерации наследники, принявшие наследство, отвечают по долгам наследодателя солидарно (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"consultantplus://offline/ref=B4C5C70B08F88CC2EFE45EE77D94A2F2AEB39054829BBEFDF77D561E81A071FE4742A70FDE1AD698F3B6E09FB063ECCFCAE49530B09F813DDBI5I"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статья 323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указанного Кодекса). 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разъяснил Пленум Верховного Суда Российской Федерации в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"consultantplus://offline/ref=B4C5C70B08F88CC2EFE45EE77D94A2F2AEB29258879ABEFDF77D561E81A071FE4742A70FDE1BD297F2B6E09FB063ECCFCAE49530B09F813DDBI5I"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пункте 60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новления от 29 мая 2012 г.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9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судебной 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рактике по делам о наследовании»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Принявшие наследство наследники должника становятся солидарными должниками (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"consultantplus://offline/ref=B4C5C70B08F88CC2EFE45EE77D94A2F2AEB39054829BBEFDF77D561E81A071FE4742A70FDE1AD698F3B6E09FB063ECCFCAE49530B09F813DDBI5I"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статья 323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Гражданского кодекса Российской Федерации) в пределах стоимости перешедшего к ним наследственного имущества.</w:t>
      </w:r>
    </w:p>
    <w:p>
      <w:pPr>
        <w:spacing w:before="0" w:after="0" w:line="280" w:lineRule="atLeast"/>
        <w:ind w:firstLine="720"/>
        <w:jc w:val="both"/>
      </w:pPr>
      <w:r>
        <w:fldChar w:fldCharType="begin"/>
      </w:r>
      <w:r>
        <w:rPr>
          <w:highlight w:val="none"/>
        </w:rPr>
        <w:instrText xml:space="preserve"> HYPERLINK "consultantplus://offline/ref=B4C5C70B08F88CC2EFE45EE77D94A2F2ACB1935D849ABEFDF77D561E81A071FE4742A70FDE1BD19EFCB6E09FB063ECCFCAE49530B09F813DDBI5I"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Частью 1 статьи 44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Гражданского процессуального кодекса Российской Федерации предусмотрено, что в случаях выбытия одной из сторон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указано выше, вступившим в законную силу решением Преображенского районного суда </w:t>
      </w:r>
      <w:r>
        <w:rPr>
          <w:rStyle w:val="cat-Addressgrp-0rplc-35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17 декабря 2007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расторгнут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кредитный дог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овор № 3155 от 22 апреля 2005 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заключенный между Акционерным коммерческим Сберегательным банком РФ (ОАО) Стромынским отделением № 5281 Сбербанка России и </w:t>
      </w:r>
      <w:r>
        <w:rPr>
          <w:rStyle w:val="cat-FIOgrp-10rplc-3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солидарно с </w:t>
      </w:r>
      <w:r>
        <w:rPr>
          <w:rStyle w:val="cat-FIOgrp-10rplc-3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1rplc-3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2rplc-3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13rplc-4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22rplc-4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Акционерного коммерческого Сберегательного банка РФ (ОАО) Стромынского отделения № 5281 Сбербанка России задолженность по кредитному договору в сумме </w:t>
      </w:r>
      <w:r>
        <w:rPr>
          <w:rStyle w:val="cat-Sumgrp-29rplc-4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госпошлину по делу в сумме </w:t>
      </w:r>
      <w:r>
        <w:rPr>
          <w:rStyle w:val="cat-Sumgrp-30rplc-4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Обращено в пользу истца взыскание на автомобиль марки </w:t>
      </w:r>
      <w:r>
        <w:rPr>
          <w:rStyle w:val="cat-CarMakeModelgrp-42rplc-44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AVI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тип ТС — легковой, </w:t>
      </w:r>
      <w:r>
        <w:rPr>
          <w:rStyle w:val="cat-CarNumbergrp-45rplc-45"/>
          <w:rFonts w:ascii="Times New Roman" w:eastAsia="Times New Roman" w:hAnsi="Times New Roman" w:cs="Times New Roman"/>
          <w:sz w:val="28"/>
          <w:szCs w:val="28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идентификационный номер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VIN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- </w:t>
      </w:r>
      <w:r>
        <w:rPr>
          <w:rStyle w:val="cat-VINgrp-39rplc-46"/>
          <w:rFonts w:ascii="Times New Roman" w:eastAsia="Times New Roman" w:hAnsi="Times New Roman" w:cs="Times New Roman"/>
          <w:sz w:val="28"/>
          <w:szCs w:val="28"/>
          <w:highlight w:val="none"/>
        </w:rPr>
        <w:t>VIN-код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; год выпуска 1998, по начальной продажной цене </w:t>
      </w:r>
      <w:r>
        <w:rPr>
          <w:rStyle w:val="cat-Sumgrp-31rplc-4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Обращено в пользу истца взыскание на автомобиль марки </w:t>
      </w:r>
      <w:r>
        <w:rPr>
          <w:rStyle w:val="cat-CarMakeModelgrp-43rplc-48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CarNumbergrp-46rplc-49"/>
          <w:rFonts w:ascii="Times New Roman" w:eastAsia="Times New Roman" w:hAnsi="Times New Roman" w:cs="Times New Roman"/>
          <w:sz w:val="28"/>
          <w:szCs w:val="28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идентификационный номер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VIN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— </w:t>
      </w:r>
      <w:r>
        <w:rPr>
          <w:rStyle w:val="cat-VINgrp-40rplc-50"/>
          <w:rFonts w:ascii="Times New Roman" w:eastAsia="Times New Roman" w:hAnsi="Times New Roman" w:cs="Times New Roman"/>
          <w:sz w:val="28"/>
          <w:szCs w:val="28"/>
          <w:highlight w:val="none"/>
        </w:rPr>
        <w:t>VIN-код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; год выпуска 1998, по начальной продажной цене </w:t>
      </w:r>
      <w:r>
        <w:rPr>
          <w:rStyle w:val="cat-Sumgrp-32rplc-5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Обращено в пользу истца взыскание на автомобиль марки </w:t>
      </w:r>
      <w:r>
        <w:rPr>
          <w:rStyle w:val="cat-CarMakeModelgrp-44rplc-52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CarNumbergrp-47rplc-53"/>
          <w:rFonts w:ascii="Times New Roman" w:eastAsia="Times New Roman" w:hAnsi="Times New Roman" w:cs="Times New Roman"/>
          <w:sz w:val="28"/>
          <w:szCs w:val="28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идентификационный номер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VIN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- </w:t>
      </w:r>
      <w:r>
        <w:rPr>
          <w:rStyle w:val="cat-VINgrp-41rplc-54"/>
          <w:rFonts w:ascii="Times New Roman" w:eastAsia="Times New Roman" w:hAnsi="Times New Roman" w:cs="Times New Roman"/>
          <w:sz w:val="28"/>
          <w:szCs w:val="28"/>
          <w:highlight w:val="none"/>
        </w:rPr>
        <w:t>VIN-код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; год выпуска 2001, по начальной продажной цене </w:t>
      </w:r>
      <w:r>
        <w:rPr>
          <w:rStyle w:val="cat-Sumgrp-33rplc-5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данного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решения суда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зыскателю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отношении ответчика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1rplc-5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выдан исполнительный лист.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15 ноября 2016 года Преображенским районным судом </w:t>
      </w:r>
      <w:r>
        <w:rPr>
          <w:rStyle w:val="cat-Addressgrp-0rplc-5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было вынесено определение о выдаче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отношении ответчика </w:t>
      </w:r>
      <w:r>
        <w:rPr>
          <w:rStyle w:val="cat-FIOgrp-11rplc-5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дубликата исполнительного листа и восстановлении срока для предъявления исполнительного листа к исполнению. 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Апелляционным определением судебной коллегии по гражданским делам Московского городского суда от 18 октября 2017 года определение Преображенского районного суда </w:t>
      </w:r>
      <w:r>
        <w:rPr>
          <w:rStyle w:val="cat-Addressgrp-1rplc-5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15 ноября 2016 года было оставлено без изменения, частная жалоба </w:t>
      </w:r>
      <w:r>
        <w:rPr>
          <w:rStyle w:val="cat-FIOgrp-11rplc-6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без удовлетворения.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07 декабря 2016 года Преображенским районным судом </w:t>
      </w:r>
      <w:r>
        <w:rPr>
          <w:rStyle w:val="cat-Addressgrp-0rplc-6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отношении ответчика </w:t>
      </w:r>
      <w:r>
        <w:rPr>
          <w:rStyle w:val="cat-FIOgrp-28rplc-6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Банку был выдан дубликат исполнительного листа ФС № 010114893.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12 мая 2017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 судебным приставом-исполнителем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ОСП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УФССП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Москве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отношении </w:t>
      </w:r>
      <w:r>
        <w:rPr>
          <w:rStyle w:val="cat-FIOgrp-11rplc-6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было возбужде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но исполнительное производство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38624/17/77032-ИП (38624/17/77032-СВ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Требования исполнительного документа до настоящего времени не исполнены.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Установлено, что </w:t>
      </w:r>
      <w:r>
        <w:rPr>
          <w:rStyle w:val="cat-FIOgrp-23rplc-6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11 июля 2020 года умер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требование к должнику </w:t>
      </w:r>
      <w:r>
        <w:rPr>
          <w:rStyle w:val="cat-FIOgrp-11rplc-6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являлось имущественным и спорное правоотношение допускает правопреемство, то после смерти должника допус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тима его замена правопреемником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имуществу умершего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1rplc-6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нотариусом </w:t>
      </w:r>
      <w:r>
        <w:rPr>
          <w:rStyle w:val="cat-Addressgrp-0rplc-6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24rplc-6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было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открыто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наследственное дело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44/2020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Наследником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1rplc-6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закону, принявшим наследство и получившим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свидетельс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тва о праве на наследство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жена - </w:t>
      </w:r>
      <w:r>
        <w:rPr>
          <w:rStyle w:val="cat-FIOgrp-17rplc-7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6rplc-7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Наследство, на которое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19 января 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даны свидетельства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закону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состоит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из: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1/6 (одной шестой) доли квартиры, находящейся по адресу: </w:t>
      </w:r>
      <w:r>
        <w:rPr>
          <w:rStyle w:val="cat-Addressgrp-2rplc-7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(двадцать три), кв. 45 (сорок пять). 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выписке, из Единого государственного реестра недвижимости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 основных характеристиках и зарегистрированных правах на объект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недвижимости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кадастровая 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оимость объекта недвижимости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основании запроса от 01 декабря 2020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составляет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34rplc-7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стоимость наследуемой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ли квартиры составляет </w:t>
      </w:r>
      <w:r>
        <w:rPr>
          <w:rStyle w:val="cat-Sumgrp-35rplc-7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денежные средства, внесенные в денежные вклады, хранящиеся в ПАО Сбербанк на счетах № </w:t>
      </w:r>
      <w:r>
        <w:rPr>
          <w:rStyle w:val="cat-UserDefinedgrp-49rplc-75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(остаток на дату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смерти – </w:t>
      </w:r>
      <w:r>
        <w:rPr>
          <w:rStyle w:val="cat-Sumgrp-36rplc-7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Style w:val="cat-UserDefinedgrp-51rplc-77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(остаток на дату смерти – </w:t>
      </w:r>
      <w:r>
        <w:rPr>
          <w:rStyle w:val="cat-Sumgrp-37rplc-7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</w:t>
      </w:r>
      <w:r>
        <w:rPr>
          <w:rStyle w:val="cat-UserDefinedgrp-50rplc-79"/>
          <w:rFonts w:ascii="Times New Roman" w:eastAsia="Times New Roman" w:hAnsi="Times New Roman" w:cs="Times New Roman"/>
          <w:sz w:val="28"/>
          <w:szCs w:val="28"/>
          <w:highlight w:val="none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(остаток на дату смерти – </w:t>
      </w:r>
      <w:r>
        <w:rPr>
          <w:rStyle w:val="cat-Sumgrp-38rplc-8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</w:t>
      </w:r>
      <w:r>
        <w:rPr>
          <w:rStyle w:val="cat-FIOgrp-25rplc-8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6rplc-8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приняла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наследство после смерти </w:t>
      </w:r>
      <w:r>
        <w:rPr>
          <w:rStyle w:val="cat-FIOgrp-11rplc-8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отвечае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долгам наследодателя в пред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елах стоимости перешедшего к ней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имущества.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таких обстоятельствах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 приходит к выводу об удовлетворении заявления ПАО «Сбербанк России» в лице филиала 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процессуальном правопреемстве и полагает заменить должника </w:t>
      </w:r>
      <w:r>
        <w:rPr>
          <w:rStyle w:val="cat-FIOgrp-11rplc-8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его правопреемника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7rplc-8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6rplc-8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 w:line="280" w:lineRule="atLeast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руководств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уясь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44, 224-225 ГПК РФ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</w:t>
      </w:r>
    </w:p>
    <w:p>
      <w:pPr>
        <w:spacing w:before="0" w:after="0" w:line="28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пределил:</w:t>
      </w:r>
    </w:p>
    <w:p>
      <w:pPr>
        <w:spacing w:before="0" w:after="0" w:line="280" w:lineRule="atLeast"/>
        <w:ind w:firstLine="709"/>
        <w:jc w:val="center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Заявление представителя ПАО «Сбербанк России»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замене стороны правопреемником (о процессуальном правопреемстве) в исполнительном производстве по 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2-4918/07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удовлетворить.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Произвести замену выбывшей стороны – ответчика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20rplc-8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2-4918/07 по иску Акционерного коммерческого Сберегательного банка РФ (ОАО) Стромынское отделение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5281 Сбербанка России к </w:t>
      </w:r>
      <w:r>
        <w:rPr>
          <w:rStyle w:val="cat-FIOgrp-5rplc-8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9rplc-8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6rplc-9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7rplc-9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FIOgrp-8rplc-9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 и взыскании солидарно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 правопреемника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Исраилову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26rplc-9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определение может быть подана частная жалоба Московский городской суд в течение 15 дней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Преображенский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0rplc-9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К.Ю. Трофимович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5rplc-1">
    <w:name w:val="cat-FIO grp-5 rplc-1"/>
    <w:basedOn w:val="DefaultParagraphFont"/>
  </w:style>
  <w:style w:type="character" w:customStyle="1" w:styleId="cat-FIOgrp-9rplc-2">
    <w:name w:val="cat-FIO grp-9 rplc-2"/>
    <w:basedOn w:val="DefaultParagraphFont"/>
  </w:style>
  <w:style w:type="character" w:customStyle="1" w:styleId="cat-FIOgrp-6rplc-3">
    <w:name w:val="cat-FIO grp-6 rplc-3"/>
    <w:basedOn w:val="DefaultParagraphFont"/>
  </w:style>
  <w:style w:type="character" w:customStyle="1" w:styleId="cat-FIOgrp-7rplc-4">
    <w:name w:val="cat-FIO grp-7 rplc-4"/>
    <w:basedOn w:val="DefaultParagraphFont"/>
  </w:style>
  <w:style w:type="character" w:customStyle="1" w:styleId="cat-FIOgrp-8rplc-5">
    <w:name w:val="cat-FIO grp-8 rplc-5"/>
    <w:basedOn w:val="DefaultParagraphFont"/>
  </w:style>
  <w:style w:type="character" w:customStyle="1" w:styleId="cat-Addressgrp-0rplc-6">
    <w:name w:val="cat-Address grp-0 rplc-6"/>
    <w:basedOn w:val="DefaultParagraphFont"/>
  </w:style>
  <w:style w:type="character" w:customStyle="1" w:styleId="cat-FIOgrp-10rplc-7">
    <w:name w:val="cat-FIO grp-10 rplc-7"/>
    <w:basedOn w:val="DefaultParagraphFont"/>
  </w:style>
  <w:style w:type="character" w:customStyle="1" w:styleId="cat-FIOgrp-11rplc-8">
    <w:name w:val="cat-FIO grp-11 rplc-8"/>
    <w:basedOn w:val="DefaultParagraphFont"/>
  </w:style>
  <w:style w:type="character" w:customStyle="1" w:styleId="cat-FIOgrp-12rplc-9">
    <w:name w:val="cat-FIO grp-12 rplc-9"/>
    <w:basedOn w:val="DefaultParagraphFont"/>
  </w:style>
  <w:style w:type="character" w:customStyle="1" w:styleId="cat-FIOgrp-13rplc-10">
    <w:name w:val="cat-FIO grp-13 rplc-10"/>
    <w:basedOn w:val="DefaultParagraphFont"/>
  </w:style>
  <w:style w:type="character" w:customStyle="1" w:styleId="cat-FIOgrp-14rplc-11">
    <w:name w:val="cat-FIO grp-14 rplc-11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FIOgrp-11rplc-13">
    <w:name w:val="cat-FIO grp-11 rplc-13"/>
    <w:basedOn w:val="DefaultParagraphFont"/>
  </w:style>
  <w:style w:type="character" w:customStyle="1" w:styleId="cat-Addressgrp-1rplc-14">
    <w:name w:val="cat-Address grp-1 rplc-14"/>
    <w:basedOn w:val="DefaultParagraphFont"/>
  </w:style>
  <w:style w:type="character" w:customStyle="1" w:styleId="cat-FIOgrp-11rplc-15">
    <w:name w:val="cat-FIO grp-11 rplc-15"/>
    <w:basedOn w:val="DefaultParagraphFont"/>
  </w:style>
  <w:style w:type="character" w:customStyle="1" w:styleId="cat-Addressgrp-0rplc-16">
    <w:name w:val="cat-Address grp-0 rplc-16"/>
    <w:basedOn w:val="DefaultParagraphFont"/>
  </w:style>
  <w:style w:type="character" w:customStyle="1" w:styleId="cat-FIOgrp-28rplc-17">
    <w:name w:val="cat-FIO grp-28 rplc-17"/>
    <w:basedOn w:val="DefaultParagraphFont"/>
  </w:style>
  <w:style w:type="character" w:customStyle="1" w:styleId="cat-FIOgrp-15rplc-18">
    <w:name w:val="cat-FIO grp-15 rplc-18"/>
    <w:basedOn w:val="DefaultParagraphFont"/>
  </w:style>
  <w:style w:type="character" w:customStyle="1" w:styleId="cat-FIOgrp-11rplc-19">
    <w:name w:val="cat-FIO grp-11 rplc-19"/>
    <w:basedOn w:val="DefaultParagraphFont"/>
  </w:style>
  <w:style w:type="character" w:customStyle="1" w:styleId="cat-FIOgrp-17rplc-20">
    <w:name w:val="cat-FIO grp-17 rplc-20"/>
    <w:basedOn w:val="DefaultParagraphFont"/>
  </w:style>
  <w:style w:type="character" w:customStyle="1" w:styleId="cat-FIOgrp-16rplc-21">
    <w:name w:val="cat-FIO grp-16 rplc-21"/>
    <w:basedOn w:val="DefaultParagraphFont"/>
  </w:style>
  <w:style w:type="character" w:customStyle="1" w:styleId="cat-FIOgrp-18rplc-22">
    <w:name w:val="cat-FIO grp-18 rplc-22"/>
    <w:basedOn w:val="DefaultParagraphFont"/>
  </w:style>
  <w:style w:type="character" w:customStyle="1" w:styleId="cat-FIOgrp-19rplc-23">
    <w:name w:val="cat-FIO grp-19 rplc-23"/>
    <w:basedOn w:val="DefaultParagraphFont"/>
  </w:style>
  <w:style w:type="character" w:customStyle="1" w:styleId="cat-FIOgrp-20rplc-24">
    <w:name w:val="cat-FIO grp-20 rplc-24"/>
    <w:basedOn w:val="DefaultParagraphFont"/>
  </w:style>
  <w:style w:type="character" w:customStyle="1" w:styleId="cat-FIOgrp-11rplc-26">
    <w:name w:val="cat-FIO grp-11 rplc-26"/>
    <w:basedOn w:val="DefaultParagraphFont"/>
  </w:style>
  <w:style w:type="character" w:customStyle="1" w:styleId="cat-Addressgrp-2rplc-27">
    <w:name w:val="cat-Address grp-2 rplc-27"/>
    <w:basedOn w:val="DefaultParagraphFont"/>
  </w:style>
  <w:style w:type="character" w:customStyle="1" w:styleId="cat-UserDefinedgrp-48rplc-28">
    <w:name w:val="cat-UserDefined grp-48 rplc-28"/>
    <w:basedOn w:val="DefaultParagraphFont"/>
  </w:style>
  <w:style w:type="character" w:customStyle="1" w:styleId="cat-UserDefinedgrp-49rplc-29">
    <w:name w:val="cat-UserDefined grp-49 rplc-29"/>
    <w:basedOn w:val="DefaultParagraphFont"/>
  </w:style>
  <w:style w:type="character" w:customStyle="1" w:styleId="cat-UserDefinedgrp-51rplc-30">
    <w:name w:val="cat-UserDefined grp-51 rplc-30"/>
    <w:basedOn w:val="DefaultParagraphFont"/>
  </w:style>
  <w:style w:type="character" w:customStyle="1" w:styleId="cat-UserDefinedgrp-50rplc-31">
    <w:name w:val="cat-UserDefined grp-50 rplc-31"/>
    <w:basedOn w:val="DefaultParagraphFont"/>
  </w:style>
  <w:style w:type="character" w:customStyle="1" w:styleId="cat-FIOgrp-11rplc-32">
    <w:name w:val="cat-FIO grp-11 rplc-32"/>
    <w:basedOn w:val="DefaultParagraphFont"/>
  </w:style>
  <w:style w:type="character" w:customStyle="1" w:styleId="cat-FIOgrp-17rplc-33">
    <w:name w:val="cat-FIO grp-17 rplc-33"/>
    <w:basedOn w:val="DefaultParagraphFont"/>
  </w:style>
  <w:style w:type="character" w:customStyle="1" w:styleId="cat-FIOgrp-16rplc-34">
    <w:name w:val="cat-FIO grp-16 rplc-34"/>
    <w:basedOn w:val="DefaultParagraphFont"/>
  </w:style>
  <w:style w:type="character" w:customStyle="1" w:styleId="cat-Addressgrp-0rplc-35">
    <w:name w:val="cat-Address grp-0 rplc-35"/>
    <w:basedOn w:val="DefaultParagraphFont"/>
  </w:style>
  <w:style w:type="character" w:customStyle="1" w:styleId="cat-FIOgrp-10rplc-36">
    <w:name w:val="cat-FIO grp-10 rplc-36"/>
    <w:basedOn w:val="DefaultParagraphFont"/>
  </w:style>
  <w:style w:type="character" w:customStyle="1" w:styleId="cat-FIOgrp-10rplc-37">
    <w:name w:val="cat-FIO grp-10 rplc-37"/>
    <w:basedOn w:val="DefaultParagraphFont"/>
  </w:style>
  <w:style w:type="character" w:customStyle="1" w:styleId="cat-FIOgrp-11rplc-38">
    <w:name w:val="cat-FIO grp-11 rplc-38"/>
    <w:basedOn w:val="DefaultParagraphFont"/>
  </w:style>
  <w:style w:type="character" w:customStyle="1" w:styleId="cat-FIOgrp-12rplc-39">
    <w:name w:val="cat-FIO grp-12 rplc-39"/>
    <w:basedOn w:val="DefaultParagraphFont"/>
  </w:style>
  <w:style w:type="character" w:customStyle="1" w:styleId="cat-FIOgrp-13rplc-40">
    <w:name w:val="cat-FIO grp-13 rplc-40"/>
    <w:basedOn w:val="DefaultParagraphFont"/>
  </w:style>
  <w:style w:type="character" w:customStyle="1" w:styleId="cat-FIOgrp-22rplc-41">
    <w:name w:val="cat-FIO grp-22 rplc-41"/>
    <w:basedOn w:val="DefaultParagraphFont"/>
  </w:style>
  <w:style w:type="character" w:customStyle="1" w:styleId="cat-Sumgrp-29rplc-42">
    <w:name w:val="cat-Sum grp-29 rplc-42"/>
    <w:basedOn w:val="DefaultParagraphFont"/>
  </w:style>
  <w:style w:type="character" w:customStyle="1" w:styleId="cat-Sumgrp-30rplc-43">
    <w:name w:val="cat-Sum grp-30 rplc-43"/>
    <w:basedOn w:val="DefaultParagraphFont"/>
  </w:style>
  <w:style w:type="character" w:customStyle="1" w:styleId="cat-CarMakeModelgrp-42rplc-44">
    <w:name w:val="cat-CarMakeModel grp-42 rplc-44"/>
    <w:basedOn w:val="DefaultParagraphFont"/>
  </w:style>
  <w:style w:type="character" w:customStyle="1" w:styleId="cat-CarNumbergrp-45rplc-45">
    <w:name w:val="cat-CarNumber grp-45 rplc-45"/>
    <w:basedOn w:val="DefaultParagraphFont"/>
  </w:style>
  <w:style w:type="character" w:customStyle="1" w:styleId="cat-VINgrp-39rplc-46">
    <w:name w:val="cat-VIN grp-39 rplc-46"/>
    <w:basedOn w:val="DefaultParagraphFont"/>
  </w:style>
  <w:style w:type="character" w:customStyle="1" w:styleId="cat-Sumgrp-31rplc-47">
    <w:name w:val="cat-Sum grp-31 rplc-47"/>
    <w:basedOn w:val="DefaultParagraphFont"/>
  </w:style>
  <w:style w:type="character" w:customStyle="1" w:styleId="cat-CarMakeModelgrp-43rplc-48">
    <w:name w:val="cat-CarMakeModel grp-43 rplc-48"/>
    <w:basedOn w:val="DefaultParagraphFont"/>
  </w:style>
  <w:style w:type="character" w:customStyle="1" w:styleId="cat-CarNumbergrp-46rplc-49">
    <w:name w:val="cat-CarNumber grp-46 rplc-49"/>
    <w:basedOn w:val="DefaultParagraphFont"/>
  </w:style>
  <w:style w:type="character" w:customStyle="1" w:styleId="cat-VINgrp-40rplc-50">
    <w:name w:val="cat-VIN grp-40 rplc-50"/>
    <w:basedOn w:val="DefaultParagraphFont"/>
  </w:style>
  <w:style w:type="character" w:customStyle="1" w:styleId="cat-Sumgrp-32rplc-51">
    <w:name w:val="cat-Sum grp-32 rplc-51"/>
    <w:basedOn w:val="DefaultParagraphFont"/>
  </w:style>
  <w:style w:type="character" w:customStyle="1" w:styleId="cat-CarMakeModelgrp-44rplc-52">
    <w:name w:val="cat-CarMakeModel grp-44 rplc-52"/>
    <w:basedOn w:val="DefaultParagraphFont"/>
  </w:style>
  <w:style w:type="character" w:customStyle="1" w:styleId="cat-CarNumbergrp-47rplc-53">
    <w:name w:val="cat-CarNumber grp-47 rplc-53"/>
    <w:basedOn w:val="DefaultParagraphFont"/>
  </w:style>
  <w:style w:type="character" w:customStyle="1" w:styleId="cat-VINgrp-41rplc-54">
    <w:name w:val="cat-VIN grp-41 rplc-54"/>
    <w:basedOn w:val="DefaultParagraphFont"/>
  </w:style>
  <w:style w:type="character" w:customStyle="1" w:styleId="cat-Sumgrp-33rplc-55">
    <w:name w:val="cat-Sum grp-33 rplc-55"/>
    <w:basedOn w:val="DefaultParagraphFont"/>
  </w:style>
  <w:style w:type="character" w:customStyle="1" w:styleId="cat-FIOgrp-11rplc-56">
    <w:name w:val="cat-FIO grp-11 rplc-56"/>
    <w:basedOn w:val="DefaultParagraphFont"/>
  </w:style>
  <w:style w:type="character" w:customStyle="1" w:styleId="cat-Addressgrp-0rplc-57">
    <w:name w:val="cat-Address grp-0 rplc-57"/>
    <w:basedOn w:val="DefaultParagraphFont"/>
  </w:style>
  <w:style w:type="character" w:customStyle="1" w:styleId="cat-FIOgrp-11rplc-58">
    <w:name w:val="cat-FIO grp-11 rplc-58"/>
    <w:basedOn w:val="DefaultParagraphFont"/>
  </w:style>
  <w:style w:type="character" w:customStyle="1" w:styleId="cat-Addressgrp-1rplc-59">
    <w:name w:val="cat-Address grp-1 rplc-59"/>
    <w:basedOn w:val="DefaultParagraphFont"/>
  </w:style>
  <w:style w:type="character" w:customStyle="1" w:styleId="cat-FIOgrp-11rplc-60">
    <w:name w:val="cat-FIO grp-11 rplc-60"/>
    <w:basedOn w:val="DefaultParagraphFont"/>
  </w:style>
  <w:style w:type="character" w:customStyle="1" w:styleId="cat-Addressgrp-0rplc-61">
    <w:name w:val="cat-Address grp-0 rplc-61"/>
    <w:basedOn w:val="DefaultParagraphFont"/>
  </w:style>
  <w:style w:type="character" w:customStyle="1" w:styleId="cat-FIOgrp-28rplc-62">
    <w:name w:val="cat-FIO grp-28 rplc-62"/>
    <w:basedOn w:val="DefaultParagraphFont"/>
  </w:style>
  <w:style w:type="character" w:customStyle="1" w:styleId="cat-FIOgrp-11rplc-63">
    <w:name w:val="cat-FIO grp-11 rplc-63"/>
    <w:basedOn w:val="DefaultParagraphFont"/>
  </w:style>
  <w:style w:type="character" w:customStyle="1" w:styleId="cat-FIOgrp-23rplc-64">
    <w:name w:val="cat-FIO grp-23 rplc-64"/>
    <w:basedOn w:val="DefaultParagraphFont"/>
  </w:style>
  <w:style w:type="character" w:customStyle="1" w:styleId="cat-FIOgrp-11rplc-65">
    <w:name w:val="cat-FIO grp-11 rplc-65"/>
    <w:basedOn w:val="DefaultParagraphFont"/>
  </w:style>
  <w:style w:type="character" w:customStyle="1" w:styleId="cat-FIOgrp-11rplc-66">
    <w:name w:val="cat-FIO grp-11 rplc-66"/>
    <w:basedOn w:val="DefaultParagraphFont"/>
  </w:style>
  <w:style w:type="character" w:customStyle="1" w:styleId="cat-Addressgrp-0rplc-67">
    <w:name w:val="cat-Address grp-0 rplc-67"/>
    <w:basedOn w:val="DefaultParagraphFont"/>
  </w:style>
  <w:style w:type="character" w:customStyle="1" w:styleId="cat-FIOgrp-24rplc-68">
    <w:name w:val="cat-FIO grp-24 rplc-68"/>
    <w:basedOn w:val="DefaultParagraphFont"/>
  </w:style>
  <w:style w:type="character" w:customStyle="1" w:styleId="cat-FIOgrp-11rplc-69">
    <w:name w:val="cat-FIO grp-11 rplc-69"/>
    <w:basedOn w:val="DefaultParagraphFont"/>
  </w:style>
  <w:style w:type="character" w:customStyle="1" w:styleId="cat-FIOgrp-17rplc-70">
    <w:name w:val="cat-FIO grp-17 rplc-70"/>
    <w:basedOn w:val="DefaultParagraphFont"/>
  </w:style>
  <w:style w:type="character" w:customStyle="1" w:styleId="cat-FIOgrp-16rplc-71">
    <w:name w:val="cat-FIO grp-16 rplc-71"/>
    <w:basedOn w:val="DefaultParagraphFont"/>
  </w:style>
  <w:style w:type="character" w:customStyle="1" w:styleId="cat-Addressgrp-2rplc-72">
    <w:name w:val="cat-Address grp-2 rplc-72"/>
    <w:basedOn w:val="DefaultParagraphFont"/>
  </w:style>
  <w:style w:type="character" w:customStyle="1" w:styleId="cat-Sumgrp-34rplc-73">
    <w:name w:val="cat-Sum grp-34 rplc-73"/>
    <w:basedOn w:val="DefaultParagraphFont"/>
  </w:style>
  <w:style w:type="character" w:customStyle="1" w:styleId="cat-Sumgrp-35rplc-74">
    <w:name w:val="cat-Sum grp-35 rplc-74"/>
    <w:basedOn w:val="DefaultParagraphFont"/>
  </w:style>
  <w:style w:type="character" w:customStyle="1" w:styleId="cat-UserDefinedgrp-49rplc-75">
    <w:name w:val="cat-UserDefined grp-49 rplc-75"/>
    <w:basedOn w:val="DefaultParagraphFont"/>
  </w:style>
  <w:style w:type="character" w:customStyle="1" w:styleId="cat-Sumgrp-36rplc-76">
    <w:name w:val="cat-Sum grp-36 rplc-76"/>
    <w:basedOn w:val="DefaultParagraphFont"/>
  </w:style>
  <w:style w:type="character" w:customStyle="1" w:styleId="cat-UserDefinedgrp-51rplc-77">
    <w:name w:val="cat-UserDefined grp-51 rplc-77"/>
    <w:basedOn w:val="DefaultParagraphFont"/>
  </w:style>
  <w:style w:type="character" w:customStyle="1" w:styleId="cat-Sumgrp-37rplc-78">
    <w:name w:val="cat-Sum grp-37 rplc-78"/>
    <w:basedOn w:val="DefaultParagraphFont"/>
  </w:style>
  <w:style w:type="character" w:customStyle="1" w:styleId="cat-UserDefinedgrp-50rplc-79">
    <w:name w:val="cat-UserDefined grp-50 rplc-79"/>
    <w:basedOn w:val="DefaultParagraphFont"/>
  </w:style>
  <w:style w:type="character" w:customStyle="1" w:styleId="cat-Sumgrp-38rplc-80">
    <w:name w:val="cat-Sum grp-38 rplc-80"/>
    <w:basedOn w:val="DefaultParagraphFont"/>
  </w:style>
  <w:style w:type="character" w:customStyle="1" w:styleId="cat-FIOgrp-25rplc-81">
    <w:name w:val="cat-FIO grp-25 rplc-81"/>
    <w:basedOn w:val="DefaultParagraphFont"/>
  </w:style>
  <w:style w:type="character" w:customStyle="1" w:styleId="cat-FIOgrp-16rplc-82">
    <w:name w:val="cat-FIO grp-16 rplc-82"/>
    <w:basedOn w:val="DefaultParagraphFont"/>
  </w:style>
  <w:style w:type="character" w:customStyle="1" w:styleId="cat-FIOgrp-11rplc-83">
    <w:name w:val="cat-FIO grp-11 rplc-83"/>
    <w:basedOn w:val="DefaultParagraphFont"/>
  </w:style>
  <w:style w:type="character" w:customStyle="1" w:styleId="cat-FIOgrp-11rplc-84">
    <w:name w:val="cat-FIO grp-11 rplc-84"/>
    <w:basedOn w:val="DefaultParagraphFont"/>
  </w:style>
  <w:style w:type="character" w:customStyle="1" w:styleId="cat-FIOgrp-17rplc-85">
    <w:name w:val="cat-FIO grp-17 rplc-85"/>
    <w:basedOn w:val="DefaultParagraphFont"/>
  </w:style>
  <w:style w:type="character" w:customStyle="1" w:styleId="cat-FIOgrp-16rplc-86">
    <w:name w:val="cat-FIO grp-16 rplc-86"/>
    <w:basedOn w:val="DefaultParagraphFont"/>
  </w:style>
  <w:style w:type="character" w:customStyle="1" w:styleId="cat-FIOgrp-20rplc-87">
    <w:name w:val="cat-FIO grp-20 rplc-87"/>
    <w:basedOn w:val="DefaultParagraphFont"/>
  </w:style>
  <w:style w:type="character" w:customStyle="1" w:styleId="cat-FIOgrp-5rplc-88">
    <w:name w:val="cat-FIO grp-5 rplc-88"/>
    <w:basedOn w:val="DefaultParagraphFont"/>
  </w:style>
  <w:style w:type="character" w:customStyle="1" w:styleId="cat-FIOgrp-9rplc-89">
    <w:name w:val="cat-FIO grp-9 rplc-89"/>
    <w:basedOn w:val="DefaultParagraphFont"/>
  </w:style>
  <w:style w:type="character" w:customStyle="1" w:styleId="cat-FIOgrp-6rplc-90">
    <w:name w:val="cat-FIO grp-6 rplc-90"/>
    <w:basedOn w:val="DefaultParagraphFont"/>
  </w:style>
  <w:style w:type="character" w:customStyle="1" w:styleId="cat-FIOgrp-7rplc-91">
    <w:name w:val="cat-FIO grp-7 rplc-91"/>
    <w:basedOn w:val="DefaultParagraphFont"/>
  </w:style>
  <w:style w:type="character" w:customStyle="1" w:styleId="cat-FIOgrp-8rplc-92">
    <w:name w:val="cat-FIO grp-8 rplc-92"/>
    <w:basedOn w:val="DefaultParagraphFont"/>
  </w:style>
  <w:style w:type="character" w:customStyle="1" w:styleId="cat-FIOgrp-26rplc-93">
    <w:name w:val="cat-FIO grp-26 rplc-93"/>
    <w:basedOn w:val="DefaultParagraphFont"/>
  </w:style>
  <w:style w:type="character" w:customStyle="1" w:styleId="cat-Addressgrp-0rplc-94">
    <w:name w:val="cat-Address grp-0 rplc-9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