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Style w:val="cat-FIOgrp-15rplc-0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Гр. дело суда первой инстанции: № 2-</w:t>
      </w:r>
      <w:r>
        <w:rPr>
          <w:rFonts w:ascii="Times New Roman" w:eastAsia="Times New Roman" w:hAnsi="Times New Roman" w:cs="Times New Roman"/>
          <w:highlight w:val="none"/>
        </w:rPr>
        <w:t>3867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20</w:t>
      </w:r>
      <w:r>
        <w:rPr>
          <w:rFonts w:ascii="Times New Roman" w:eastAsia="Times New Roman" w:hAnsi="Times New Roman" w:cs="Times New Roman"/>
          <w:highlight w:val="none"/>
        </w:rPr>
        <w:t>20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Гр. дело суда апелляционной инстанции: № 33-</w:t>
      </w:r>
      <w:r>
        <w:rPr>
          <w:rFonts w:ascii="Times New Roman" w:eastAsia="Times New Roman" w:hAnsi="Times New Roman" w:cs="Times New Roman"/>
          <w:highlight w:val="none"/>
        </w:rPr>
        <w:t>15134</w:t>
      </w:r>
      <w:r>
        <w:rPr>
          <w:rFonts w:ascii="Times New Roman" w:eastAsia="Times New Roman" w:hAnsi="Times New Roman" w:cs="Times New Roman"/>
          <w:highlight w:val="none"/>
        </w:rPr>
        <w:t>/20</w:t>
      </w:r>
      <w:r>
        <w:rPr>
          <w:rFonts w:ascii="Times New Roman" w:eastAsia="Times New Roman" w:hAnsi="Times New Roman" w:cs="Times New Roman"/>
          <w:highlight w:val="none"/>
        </w:rPr>
        <w:t>21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jc w:val="center"/>
      </w:pPr>
    </w:p>
    <w:p>
      <w:pPr>
        <w:spacing w:before="0" w:after="0" w:line="240" w:lineRule="atLeast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spacing w:before="0" w:after="0" w:line="240" w:lineRule="atLeast"/>
        <w:ind w:firstLine="567"/>
        <w:jc w:val="center"/>
      </w:pPr>
    </w:p>
    <w:p>
      <w:pPr>
        <w:spacing w:before="0" w:after="0" w:line="240" w:lineRule="atLeast"/>
        <w:ind w:firstLine="567"/>
        <w:rPr>
          <w:rStyle w:val="DefaultParagraphFont"/>
          <w:sz w:val="24"/>
          <w:szCs w:val="24"/>
        </w:rPr>
      </w:pPr>
      <w:r>
        <w:rPr>
          <w:rStyle w:val="cat-Dategrp-3rplc-1"/>
          <w:rFonts w:ascii="Times New Roman" w:eastAsia="Times New Roman" w:hAnsi="Times New Roman" w:cs="Times New Roman"/>
          <w:highlight w:val="none"/>
        </w:rPr>
        <w:t>дата</w:t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по гражданским делам Московского городского суда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</w:t>
      </w:r>
      <w:r>
        <w:rPr>
          <w:rStyle w:val="cat-FIOgrp-16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Style w:val="cat-FIOgrp-17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18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ведении протокола судебного заседания помощником судьи </w:t>
      </w:r>
      <w:r>
        <w:rPr>
          <w:rStyle w:val="cat-FIOgrp-19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заслушав в открытом судебном заседании по докладу судьи </w:t>
      </w:r>
      <w:r>
        <w:rPr>
          <w:rStyle w:val="cat-FIOgrp-17rplc-7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по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апелляционной жалобе </w:t>
      </w:r>
      <w:r>
        <w:rPr>
          <w:rStyle w:val="cat-FIOgrp-20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представителя </w:t>
      </w:r>
      <w:r>
        <w:rPr>
          <w:rStyle w:val="cat-FIOgrp-21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решение Гагаринского районного суда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которым пос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ановлено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удовлетворении исковых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2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OrganizationNamegrp-34rplc-13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ущерба, неустойки, компенсации морального вреда - отказать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УСТАНОВИЛА: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0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в суд с иском к ответчику </w:t>
      </w:r>
      <w:r>
        <w:rPr>
          <w:rStyle w:val="cat-OrganizationNamegrp-34rplc-1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</w:t>
      </w:r>
      <w:r>
        <w:rPr>
          <w:rFonts w:ascii="Times New Roman" w:eastAsia="Times New Roman" w:hAnsi="Times New Roman" w:cs="Times New Roman"/>
          <w:highlight w:val="none"/>
        </w:rPr>
        <w:t xml:space="preserve">зыскании </w:t>
      </w:r>
      <w:r>
        <w:rPr>
          <w:rFonts w:ascii="Times New Roman" w:eastAsia="Times New Roman" w:hAnsi="Times New Roman" w:cs="Times New Roman"/>
          <w:highlight w:val="none"/>
        </w:rPr>
        <w:t xml:space="preserve">в счёт возмещения ущерба денежных средств в размере </w:t>
      </w:r>
      <w:r>
        <w:rPr>
          <w:rStyle w:val="cat-Sumgrp-29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неустойки в порядке п.5 ст.28 Закона РФ «О защите прав потребителей» за период с </w:t>
      </w:r>
      <w:r>
        <w:rPr>
          <w:rStyle w:val="cat-Dategrp-5rplc-1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6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9rplc-1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процентов за пользование чужими денежными средствами за период с </w:t>
      </w:r>
      <w:r>
        <w:rPr>
          <w:rStyle w:val="cat-Dategrp-5rplc-2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6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 </w:t>
      </w:r>
      <w:r>
        <w:rPr>
          <w:rStyle w:val="cat-Sumgrp-30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компенсации морального вреда в размере </w:t>
      </w:r>
      <w:r>
        <w:rPr>
          <w:rStyle w:val="cat-Sumgrp-31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указав в обоснование заявленных требований, что в период с </w:t>
      </w:r>
      <w:r>
        <w:rPr>
          <w:rStyle w:val="cat-Dategrp-7rplc-2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8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на банковскую карту </w:t>
      </w:r>
      <w:r>
        <w:rPr>
          <w:rStyle w:val="cat-FIOgrp-20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№546938007878105 (счёт №40817.810.2.3817.7548227) были зачислены денежные средства в размере </w:t>
      </w:r>
      <w:r>
        <w:rPr>
          <w:rStyle w:val="cat-Sumgrp-29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что подтверждается выпиской по счёту. При совершении покупки в магазине с использованием банковской карты оказалось, что на карте недостаточно денежных средств для оплаты. </w:t>
      </w:r>
      <w:r>
        <w:rPr>
          <w:rStyle w:val="cat-Dategrp-9rplc-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направила ответчику заявление вх.№190911-0773-967300 для выяснения обстоятельств отсутствия денежных средств. Согласно ответа </w:t>
      </w:r>
      <w:r>
        <w:rPr>
          <w:rStyle w:val="cat-OrganizationNamegrp-35rplc-30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10rplc-3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39rplc-32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МСК через мобильное приложение системы «СбербанкОнлайн» для </w:t>
      </w:r>
      <w:r>
        <w:rPr>
          <w:rFonts w:ascii="Times New Roman" w:eastAsia="Times New Roman" w:hAnsi="Times New Roman" w:cs="Times New Roman"/>
          <w:highlight w:val="none"/>
        </w:rPr>
        <w:t>iPhone</w:t>
      </w:r>
      <w:r>
        <w:rPr>
          <w:rFonts w:ascii="Times New Roman" w:eastAsia="Times New Roman" w:hAnsi="Times New Roman" w:cs="Times New Roman"/>
          <w:highlight w:val="none"/>
        </w:rPr>
        <w:t xml:space="preserve"> была совершена операция безналичного перевода денежных средств с банковской карты </w:t>
      </w:r>
      <w:r>
        <w:rPr>
          <w:rStyle w:val="cat-FIOgrp-20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карту третьего лица </w:t>
      </w:r>
      <w:r>
        <w:rPr>
          <w:rFonts w:ascii="Times New Roman" w:eastAsia="Times New Roman" w:hAnsi="Times New Roman" w:cs="Times New Roman"/>
          <w:highlight w:val="none"/>
        </w:rPr>
        <w:t>VISA</w:t>
      </w:r>
      <w:r>
        <w:rPr>
          <w:rFonts w:ascii="Times New Roman" w:eastAsia="Times New Roman" w:hAnsi="Times New Roman" w:cs="Times New Roman"/>
          <w:highlight w:val="none"/>
        </w:rPr>
        <w:t xml:space="preserve">8875 </w:t>
      </w:r>
      <w:r>
        <w:rPr>
          <w:rStyle w:val="cat-FIOgrp-23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Г. на сумму </w:t>
      </w:r>
      <w:r>
        <w:rPr>
          <w:rStyle w:val="cat-Sumgrp-32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Указанная операция произведена без ведома и согласия </w:t>
      </w:r>
      <w:r>
        <w:rPr>
          <w:rStyle w:val="cat-FIOgrp-20rplc-3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0rplc-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заседание </w:t>
      </w:r>
      <w:r>
        <w:rPr>
          <w:rFonts w:ascii="Times New Roman" w:eastAsia="Times New Roman" w:hAnsi="Times New Roman" w:cs="Times New Roman"/>
          <w:highlight w:val="none"/>
        </w:rPr>
        <w:t xml:space="preserve">суда первой инстанции </w:t>
      </w:r>
      <w:r>
        <w:rPr>
          <w:rFonts w:ascii="Times New Roman" w:eastAsia="Times New Roman" w:hAnsi="Times New Roman" w:cs="Times New Roman"/>
          <w:highlight w:val="none"/>
        </w:rPr>
        <w:t xml:space="preserve">не явилась, направила представителя по доверенности </w:t>
      </w:r>
      <w:r>
        <w:rPr>
          <w:rStyle w:val="cat-FIOgrp-21rplc-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настаивал на удовлетворении исковых требований.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</w:t>
      </w:r>
      <w:r>
        <w:rPr>
          <w:rStyle w:val="cat-OrganizationNamegrp-34rplc-3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по доверенности </w:t>
      </w:r>
      <w:r>
        <w:rPr>
          <w:rStyle w:val="cat-FIOgrp-24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заседание суда первой инстанции</w:t>
      </w:r>
      <w:r>
        <w:rPr>
          <w:rFonts w:ascii="Times New Roman" w:eastAsia="Times New Roman" w:hAnsi="Times New Roman" w:cs="Times New Roman"/>
          <w:highlight w:val="none"/>
        </w:rPr>
        <w:t xml:space="preserve"> явился, с иском не </w:t>
      </w:r>
      <w:r>
        <w:rPr>
          <w:rFonts w:ascii="Times New Roman" w:eastAsia="Times New Roman" w:hAnsi="Times New Roman" w:cs="Times New Roman"/>
          <w:highlight w:val="none"/>
        </w:rPr>
        <w:t>согласился</w:t>
      </w:r>
      <w:r>
        <w:rPr>
          <w:rFonts w:ascii="Times New Roman" w:eastAsia="Times New Roman" w:hAnsi="Times New Roman" w:cs="Times New Roman"/>
          <w:highlight w:val="none"/>
        </w:rPr>
        <w:t xml:space="preserve"> по доводам</w:t>
      </w:r>
      <w:r>
        <w:rPr>
          <w:rFonts w:ascii="Times New Roman" w:eastAsia="Times New Roman" w:hAnsi="Times New Roman" w:cs="Times New Roman"/>
          <w:highlight w:val="none"/>
        </w:rPr>
        <w:t xml:space="preserve">, изложенным в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письменны</w:t>
      </w:r>
      <w:r>
        <w:rPr>
          <w:rFonts w:ascii="Times New Roman" w:eastAsia="Times New Roman" w:hAnsi="Times New Roman" w:cs="Times New Roman"/>
          <w:highlight w:val="none"/>
        </w:rPr>
        <w:t>х</w:t>
      </w:r>
      <w:r>
        <w:rPr>
          <w:rFonts w:ascii="Times New Roman" w:eastAsia="Times New Roman" w:hAnsi="Times New Roman" w:cs="Times New Roman"/>
          <w:highlight w:val="none"/>
        </w:rPr>
        <w:t xml:space="preserve"> возражени</w:t>
      </w:r>
      <w:r>
        <w:rPr>
          <w:rFonts w:ascii="Times New Roman" w:eastAsia="Times New Roman" w:hAnsi="Times New Roman" w:cs="Times New Roman"/>
          <w:highlight w:val="none"/>
        </w:rPr>
        <w:t>ях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постановлено изложенное выше решение, об отмене которого</w:t>
      </w:r>
      <w:r>
        <w:rPr>
          <w:rFonts w:ascii="Times New Roman" w:eastAsia="Times New Roman" w:hAnsi="Times New Roman" w:cs="Times New Roman"/>
          <w:highlight w:val="none"/>
        </w:rPr>
        <w:t xml:space="preserve"> и принятии нового решения об удовлетворении исковых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просит представитель истца п</w:t>
      </w:r>
      <w:r>
        <w:rPr>
          <w:rFonts w:ascii="Times New Roman" w:eastAsia="Times New Roman" w:hAnsi="Times New Roman" w:cs="Times New Roman"/>
          <w:highlight w:val="none"/>
        </w:rPr>
        <w:t>о доводам апелляционной жалобы.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 п. 4 ч.4 ст. 330 ГПК РФ основаниями для отмены решения суда первой инстанции в любом случае являются принятие судом решения о правах и об обязанностях лиц, не привлеченных к участию в деле.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ч. 5 ст. 330 ГПК РФ при наличии оснований, предусмотренных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"consultantplus://offline/ref=A487879F58F4E677945D99AD4085CC7F7137C574B36BFE0CD30FBA7DADC27D88AC0126638Fw4AFM"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частью четвертой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настоящей статьи, суд апелляционной инстанции рассматривает дело по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"consultantplus://offline/ref=A487879F58F4E677945D99AD4085CC7F7137C574B36BFE0CD30FBA7DADC27D88AC012660894AFB79w1A0M"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правилам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производства в суде первой инстанции без учета особенностей, предусмотренных настоящей главой. О переходе к рассмотрению дела по правилам производства в суде первой инстанции выносится определение с указанием действий, которые надлежит совершить лицам, участвующим в деле, и сроков их совершения.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 апелляционной инстанции установлено, и данное обстоятельство следует из материалов дела, что держателем карты, на которую были перечислены спорные денежные средства, является </w:t>
      </w:r>
      <w:r>
        <w:rPr>
          <w:rStyle w:val="cat-FIOgrp-25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однако, вопрос о ее привлечении к участию в деле не обсуждался судом, тогда как, принятым решением затрагиваются ее права и обязанности.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указанным обстоятельствам, 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"consultantplus://offline/ref=DC48865098FDBA88A8559427209B4AD815AEC8363AC4775FC45A373D6E23554986C2DF439EIBF8Q"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4 ч. 4 ст. 330 ГПК РФ, ч. 5 ст. 330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РФ, судебная коллегия определением от </w:t>
      </w:r>
      <w:r>
        <w:rPr>
          <w:rStyle w:val="cat-Dategrp-11rplc-4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перешла к рассмотрению дела по правилам производства в суде первой инстанции; привлекла к участию в деле в качестве </w:t>
      </w:r>
      <w:r>
        <w:rPr>
          <w:rFonts w:ascii="Times New Roman" w:eastAsia="Times New Roman" w:hAnsi="Times New Roman" w:cs="Times New Roman"/>
          <w:highlight w:val="none"/>
        </w:rPr>
        <w:t xml:space="preserve">третьего лица, не заявляющего самостоятельные требования </w:t>
      </w:r>
      <w:r>
        <w:rPr>
          <w:rStyle w:val="cat-FIOgrp-25rplc-43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Судебная коллегия полагает, что решение суда, как постановленное с нарушением норм процессуального права, подлежит отмене.</w:t>
      </w:r>
    </w:p>
    <w:p>
      <w:pPr>
        <w:widowControl w:val="0"/>
        <w:spacing w:before="0" w:after="0" w:line="240" w:lineRule="atLeast"/>
        <w:ind w:firstLine="567"/>
        <w:jc w:val="both"/>
      </w:pP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настоящее заседание судебной коллегии истец </w:t>
      </w:r>
      <w:r>
        <w:rPr>
          <w:rStyle w:val="cat-FIOgrp-20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явилась, направила представителя по доверенности </w:t>
      </w:r>
      <w:r>
        <w:rPr>
          <w:rStyle w:val="cat-FIOgrp-21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который исковые требования поддержал.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ответчика ПАО Сбербанк по доверенности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4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заседание судебной коллегии явился</w:t>
      </w:r>
      <w:r>
        <w:rPr>
          <w:rFonts w:ascii="Times New Roman" w:eastAsia="Times New Roman" w:hAnsi="Times New Roman" w:cs="Times New Roman"/>
          <w:highlight w:val="none"/>
        </w:rPr>
        <w:t>, против удовлетворения иска возражал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Третье лицо </w:t>
      </w:r>
      <w:r>
        <w:rPr>
          <w:rStyle w:val="cat-FIOgrp-25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заседание судебной коллегии не явилась, извещена надлежащим образом, в связи с чем в соответствии со ст.167 ГПК РФ судебной коллегией дело рассмотрено в ее отсутствие.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дело по правилам производства в суде первой инстанции, выслушав явившихся участников процесса, исследовав материалы дела, оценив имеющиеся в деле доказательства в их совокупности, судебная коллегия приходит к следующему.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п.1 ст.845 ГК РФ, </w:t>
      </w:r>
      <w:r>
        <w:rPr>
          <w:rFonts w:ascii="Times New Roman" w:eastAsia="Times New Roman" w:hAnsi="Times New Roman" w:cs="Times New Roman"/>
          <w:highlight w:val="none"/>
        </w:rPr>
        <w:t>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положениями ст.854 ГК РФ, </w:t>
      </w:r>
      <w:r>
        <w:rPr>
          <w:rFonts w:ascii="Times New Roman" w:eastAsia="Times New Roman" w:hAnsi="Times New Roman" w:cs="Times New Roman"/>
          <w:highlight w:val="none"/>
        </w:rPr>
        <w:t>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истец </w:t>
      </w:r>
      <w:r>
        <w:rPr>
          <w:rStyle w:val="cat-FIOgrp-20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держателем банковской карты ПАО Сбербанк №5469380078781605 (счёт карты 40817.810.2.3817.7548227).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усматривается из материалов дела, </w:t>
      </w:r>
      <w:r>
        <w:rPr>
          <w:rStyle w:val="cat-Dategrp-12rplc-4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использованием реквизитов карты 5469380078781605 совершена удалённая регистрация в автоматизированной системе «Сбербанк Онлайн» и регистрация в мобильном приложении на номер телефона </w:t>
      </w:r>
      <w:r>
        <w:rPr>
          <w:rStyle w:val="cat-PhoneNumbergrp-40rplc-50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Далее через мобильное приложение системы совершена операция безналичного перевода средств с карты </w:t>
      </w:r>
      <w:r>
        <w:rPr>
          <w:rStyle w:val="cat-FIOgrp-20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5469380078781605 на карту третьего лица №4279380012948875 (</w:t>
      </w:r>
      <w:r>
        <w:rPr>
          <w:rStyle w:val="cat-FIOgrp-26rplc-5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Г.)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33rplc-5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пояснений истца, </w:t>
      </w:r>
      <w:r>
        <w:rPr>
          <w:rFonts w:ascii="Times New Roman" w:eastAsia="Times New Roman" w:hAnsi="Times New Roman" w:cs="Times New Roman"/>
          <w:highlight w:val="none"/>
        </w:rPr>
        <w:t>операций по списанию денежных средств по вкладу истец не совершал, разрешение на их проведение не давал.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ст.30 Федерального закона «О банках и банковской деятельности» отношения между Банком России, кредитными организациями и их клиентами осуществляются на основе договоров, если иное не предусмотрено федеральным законом.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Расчёты с участием граждан, не связанные с осуществлением ими предпринимательской деятельности, могут производиться наличными деньгами без ограничения суммы или в безналичном порядке. Безналичные расчеты производятся через банки, иные кредитные организации, в которых открыты соответствующие счета, если </w:t>
      </w:r>
      <w:r>
        <w:rPr>
          <w:rFonts w:ascii="Times New Roman" w:eastAsia="Times New Roman" w:hAnsi="Times New Roman" w:cs="Times New Roman"/>
          <w:highlight w:val="none"/>
        </w:rPr>
        <w:t xml:space="preserve">иное не вытекает из закона и не обусловлено используемой формой расчетов (п.п. 1, 3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"https://rospravosudie.com/law/Статья_861_ГК_РФ"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ст.861 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>).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"https://rospravosudie.com/law/Статья_854_ГК_РФ"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ст.854 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"https://rospravosudie.com/law/Статья_848_ГК_РФ"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 xml:space="preserve">ст.848 </w:t>
      </w:r>
      <w:r>
        <w:rPr>
          <w:rStyle w:val="cat-OrganizationNamegrp-37rplc-54"/>
          <w:rFonts w:ascii="Times New Roman" w:eastAsia="Times New Roman" w:hAnsi="Times New Roman" w:cs="Times New Roman"/>
          <w:color w:val="0000EE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color w:val="0000EE"/>
          <w:highlight w:val="none"/>
        </w:rPr>
        <w:t>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OrganizationNamegrp-38rplc-5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>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"https://rospravosudie.com/law/Статья_858_ГК_РФ"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ст.858 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операций по счету в случаях, предусмотренных законом.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пунктов 1, 3, 5 ст.14 Закона РФ «О защите прав потребителей» вред, причиненный жизни, здоровью или имуществу потребителя вследствие недостатков услуги, подлежит возмещению исполнителем. Исполнитель</w:t>
      </w:r>
      <w:r>
        <w:rPr>
          <w:rFonts w:ascii="Times New Roman" w:eastAsia="Times New Roman" w:hAnsi="Times New Roman" w:cs="Times New Roman"/>
          <w:highlight w:val="none"/>
        </w:rPr>
        <w:t xml:space="preserve"> освобождается от ответственности, если докажет, что вред причинен вследствие непреодолимой силы или нарушения потребителем установленных правил использования услуги.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п.2.3 Положения о правилах осуществления перевода денежных средств, утвержденного Центральным </w:t>
      </w:r>
      <w:r>
        <w:rPr>
          <w:rStyle w:val="cat-OrganizationNamegrp-36rplc-56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13rplc-5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№383-П, </w:t>
      </w:r>
      <w:r>
        <w:rPr>
          <w:rFonts w:ascii="Times New Roman" w:eastAsia="Times New Roman" w:hAnsi="Times New Roman" w:cs="Times New Roman"/>
          <w:highlight w:val="none"/>
        </w:rPr>
        <w:t xml:space="preserve">удостоверение права распоряжения денежными средствами при приеме к исполнению распоряжения в </w:t>
      </w:r>
      <w:r>
        <w:rPr>
          <w:rFonts w:ascii="Times New Roman" w:eastAsia="Times New Roman" w:hAnsi="Times New Roman" w:cs="Times New Roman"/>
          <w:highlight w:val="none"/>
        </w:rPr>
        <w:t xml:space="preserve">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удостоверено 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"http://www.consultant.ru/document/cons_doc_LAW_131829/373ee330758c2c5369484b83fa46aaf50f72efd9/" \l "dst100064"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пунктом 1.24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Положения.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4.2 Положения об идентификации кредитными организациями клиентов, представителей клиента выгодоприобретателей и бенифициарных владельцев в целях</w:t>
      </w:r>
      <w:r>
        <w:rPr>
          <w:rFonts w:ascii="Times New Roman" w:eastAsia="Times New Roman" w:hAnsi="Times New Roman" w:cs="Times New Roman"/>
          <w:highlight w:val="none"/>
        </w:rPr>
        <w:t xml:space="preserve"> противодействия легализации (отмыванию) доходов, полученных преступным путем, и финансированию терроризма, утвержденного Центрального </w:t>
      </w:r>
      <w:r>
        <w:rPr>
          <w:rStyle w:val="cat-OrganizationNamegrp-36rplc-58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14rplc-5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№499-П, при совершении операций с использованием платежной (банковской) карты без участия уполномоченного сотрудника кредитной организации идентификация клиента проводится кредитной организацией на основе реквизитов платежной (банковской) карты, а также кодов и паролей. В указанном случае идентификация представителя клиента, выгодоприобретателя и бенефициарного владельца не проводится.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Следовательно, сообщения с телефона, пароли, направляемые банком на номер телефона, позволяют банку подтвердить, что операция и распоряжение составлено именно владельцем карты.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1.10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действие ДБО распространяется на Счета Карт, открытые как до, так и после заключения ДБО, а также на вклады, обезличенные металлические счета, номинальные счета для зачисления социальных выплат, услуги </w:t>
      </w:r>
      <w:r>
        <w:rPr>
          <w:rFonts w:ascii="Times New Roman" w:eastAsia="Times New Roman" w:hAnsi="Times New Roman" w:cs="Times New Roman"/>
          <w:highlight w:val="none"/>
        </w:rPr>
        <w:t>предоставления в аренду индивидуального банковского сейфа и иные продукты, предусмотренные ДБО, открываемые/предоставляемые Клиенту в рамках ДБО.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 смыслу п. 4.7 Условий ДБО переводы денежных средств в том числе осуществляются со Счета Карты и вклада Клиента через Систему «Сбербанк Онлайн».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4.5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операции переводов денежных средств со Счетов/вкладов Клиента на другие Счета/вклады, открытые на имя Клиента в Банке, через </w:t>
      </w:r>
      <w:r>
        <w:rPr>
          <w:rStyle w:val="cat-Addressgrp-2rplc-6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 осуществляются в соответствии с Порядком предоставления ПАО Сбербанк услуг через </w:t>
      </w:r>
      <w:r>
        <w:rPr>
          <w:rStyle w:val="cat-Addressgrp-2rplc-6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обслуживания, Руководством по использованию «Мобильного банка» и «Руководством по использованию «Сбербанк Онлайн», размещаемыми на Официальном сайте Банка и Памяткой по безопасности, которая является Приложением № 2 к Условиям ДБО.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4.9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ДБО, если иное не установлено Договором на выпуск и обслуживание дебетовой карты ПАО Сбербанк. Клиент поручает Банку составлять и подписывать расчетные документы, необходимые для осуществления операций по перечислению денежных средств со Счета/вклада, на основании указанных документов.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1.9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 использованием Карты Клиент получает возможность совершать определенные ДБО операции по своим Счетам и другим продуктам в Банке через </w:t>
      </w:r>
      <w:r>
        <w:rPr>
          <w:rStyle w:val="cat-Addressgrp-2rplc-6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 согласно п. 3.21 Условий выпуска и обслуживания дебетовых карт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расчетные (расчетно- кассовые) документы, оформляемые при совершении Операций, могут быть подписаны собственноручной подписью Держателя, либо составлены в виде Электронного документа и подписаны Аналогом собственноручной подписи, либо составлены с использованием номера Карты. Расчетные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2.2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аналог собственноручной подписи </w:t>
      </w:r>
      <w:r>
        <w:rPr>
          <w:rFonts w:ascii="Times New Roman" w:eastAsia="Times New Roman" w:hAnsi="Times New Roman" w:cs="Times New Roman"/>
          <w:highlight w:val="none"/>
        </w:rPr>
        <w:t xml:space="preserve">- код, пароль или иной, указанный в Договоре аналог собственноручной подписи, используемый Клиентом для подтверждения волеизъявления Клиента на совершение операции или удостоверяющий факт составления и/или ознакомления, и/или подписания электронного сообщения, Электронного документа, в том числе договора в электронном виде, заключаемого через </w:t>
      </w:r>
      <w:r>
        <w:rPr>
          <w:rStyle w:val="cat-Addressgrp-2rplc-6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3.9 Приложения № 1 к Условиям ДБО, п. 2.32 Условий ДБО: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>Аналогом собственноручной подписи Клиента, используемым для целей подписания Электронных документов в Системе «Сбербанк Онлайн» при доступе Клиента к Системе «Сбербанк Онлайн» через Официальный сайт Банка или Мобильное приложение Банка является соответственно Одноразовый пароль/нажатие кнопки «Подтверждаю» или нажатие кнопки «Подтверждаю». Необходимость подтверждения операции в Системе «Сбербанк Онлайн» определяется Банком. Информация о необходимости подтверждения операции доводится до сведения Клиента перед совершением операции;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>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1.5 Условий ДБО Клиентам предоставляется возможность проведения банковских операций через удаленные каналы обслуживания, в частности через систему «Сбербанк Онлайн».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п.2.41 Условий ДБО и п.3.2 Приложения № 1 к Условиям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система «Сбербанк Онлайн» -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п.2.43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средства доступа - набор средств, выдаваемых/определяемых Банком для Идентификации и Аутентификации Клиента через </w:t>
      </w:r>
      <w:r>
        <w:rPr>
          <w:rStyle w:val="cat-Addressgrp-2rplc-6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обслуживания. К Средствам доступа к Системе «Сбербанк Онлайн» относятся Логин (Идентификатор пользователя), Постоянный пароль, Одноразовые пароли, Биометрические персональные данные Клиента.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3.15 Приложения № 1 к Условиям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для отправки Клиенту Одноразовых паролей и подтверждений об операциях в Системе «Сбербанк Онлайн» используется номер мобильного телефона Клиента, зарегистрированный в «Мобильном банке». Отправка Банком Клиенту сообщений, содержащих Одноразовые пароли, осуществляется в рамках Услуги «Мобильный банк» посредством </w:t>
      </w:r>
      <w:r>
        <w:rPr>
          <w:rFonts w:ascii="Times New Roman" w:eastAsia="Times New Roman" w:hAnsi="Times New Roman" w:cs="Times New Roman"/>
          <w:highlight w:val="none"/>
        </w:rPr>
        <w:t>SMS</w:t>
      </w:r>
      <w:r>
        <w:rPr>
          <w:rFonts w:ascii="Times New Roman" w:eastAsia="Times New Roman" w:hAnsi="Times New Roman" w:cs="Times New Roman"/>
          <w:highlight w:val="none"/>
        </w:rPr>
        <w:t xml:space="preserve">-сообщений и/или </w:t>
      </w:r>
      <w:r>
        <w:rPr>
          <w:rFonts w:ascii="Times New Roman" w:eastAsia="Times New Roman" w:hAnsi="Times New Roman" w:cs="Times New Roman"/>
          <w:highlight w:val="none"/>
        </w:rPr>
        <w:t>Push</w:t>
      </w:r>
      <w:r>
        <w:rPr>
          <w:rFonts w:ascii="Times New Roman" w:eastAsia="Times New Roman" w:hAnsi="Times New Roman" w:cs="Times New Roman"/>
          <w:highlight w:val="none"/>
        </w:rPr>
        <w:t xml:space="preserve">-уведомлений. Согласно информации, находящейся в смс- банкинге «Мобильный банк», номер телефона </w:t>
      </w:r>
      <w:r>
        <w:rPr>
          <w:rStyle w:val="cat-PhoneNumbergrp-41rplc-6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указанный Истцом в качестве своего контактного номера телефона Истцом самостоятельно был подключен к услуге «Мобильный банк». Данный факт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стцом не осп</w:t>
      </w:r>
      <w:r>
        <w:rPr>
          <w:rFonts w:ascii="Times New Roman" w:eastAsia="Times New Roman" w:hAnsi="Times New Roman" w:cs="Times New Roman"/>
          <w:highlight w:val="none"/>
        </w:rPr>
        <w:t>орен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п.4.15 и п.4.16 Условий ДБО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при предоставлении банковских услуг идентификация и аутентификация Клиента Банком осуществляется при проведении операций через систему «Сбербанк Онлайн» на основании введенного Логина (Идентификатора пользователя) и Постоянного пароля и/или Одноразовых паролей; Клиент считается идентифицированным в случае соответствия Логина (Идентификатора пользователя), введенного Клиентом в Систему «Сбербанк Онлайн», Логину (Идентификатору пользователя), содержащимся в Базе данных Банка.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Предоставление Клиенту услуг «Сбербанк Онлайн» осуществляется в соответствии с условиями банковского обслуживания, а также в соответствии с Руководством по использованию «Сбербанк Онлайн», размещаемым на веб-сайте Банка (п.3.5 Приложения № 1 к Условиям ДБО).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п.3.7 Приложения № 1 к Условиям ДБО: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>доступ Клиента к услугам Системы «Сбербанк Онлайн» осуществляется при условии его успешной Идентификации на основании Логина (Идентификатора пользователя) и Аутентификации на основании Постоянного пароля.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>Логин (Идентификатор пользователя) и Постоянный пароль Клиент может самостоятельно определить через удаленную регистрацию на сайте Банка на странице входа в «Сбербанк Онлайн» с использованием своей основной Карты. Операция создания Логина (Идентификатора пользователя) и Постоянного пароля подтверждается Одноразовым паролем, который направляется на номер телефона Клиента, подключенный к Услуге «Мобильный банк».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регистрации в системе и мобильном приложении «Сбербанк Онлайн» и проведении спорных операций были использованы реквизиты банковской карты истца, логин и постоянный пароль, созданный при удаленной регистрации в системе «СБЕРБАНК ОНЛАЙН» </w:t>
      </w:r>
      <w:r>
        <w:rPr>
          <w:rFonts w:ascii="Times New Roman" w:eastAsia="Times New Roman" w:hAnsi="Times New Roman" w:cs="Times New Roman"/>
          <w:highlight w:val="none"/>
        </w:rPr>
        <w:t>web</w:t>
      </w:r>
      <w:r>
        <w:rPr>
          <w:rFonts w:ascii="Times New Roman" w:eastAsia="Times New Roman" w:hAnsi="Times New Roman" w:cs="Times New Roman"/>
          <w:highlight w:val="none"/>
        </w:rPr>
        <w:t>-версии, подтверждение операций, которые согласно Условиям Договора и гражданскому законодательству РФ, являются аналогом собственноручной подписи клиентом бумажных документов/договоров с Банком.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6.10 Условий ДБО, п. 4.12 Условий выпуска и обслуживания дебетовых карт, п. 1.14 Условий ДБО, п.п. 3.20 Приложения № 1 к Условиям ДБО, п. 4.12 Условий выпуска и обслуживания дебетовых карт клиент несет ответственность за все операции, проводимые в Подразделениях Банка, через Устройства </w:t>
      </w:r>
      <w:r>
        <w:rPr>
          <w:rFonts w:ascii="Times New Roman" w:eastAsia="Times New Roman" w:hAnsi="Times New Roman" w:cs="Times New Roman"/>
          <w:highlight w:val="none"/>
        </w:rPr>
        <w:t>самообслуживания, Систему «Сбербанк Онлайн», Контактный Центр Банка, посредством Услуги «Мобильный банк», с использованием предусмотренных Условиями банковского обслуживания средств его Идентификации и Аутентификации, до момента получения Банком уведомления об утрате Карты.</w:t>
      </w:r>
    </w:p>
    <w:p>
      <w:pPr>
        <w:widowControl w:val="0"/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Совокупность исследованных доказательств, а также разумность и добросовестность </w:t>
      </w:r>
      <w:r>
        <w:rPr>
          <w:rFonts w:ascii="Times New Roman" w:eastAsia="Times New Roman" w:hAnsi="Times New Roman" w:cs="Times New Roman"/>
          <w:highlight w:val="none"/>
        </w:rPr>
        <w:t xml:space="preserve">участников гражданских правоотношений (п.3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"https://rospravosudie.com/law/Статья_10_ГК_РФ"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ст.10 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>позволяют судебной коллегии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сделать вывод о том, </w:t>
      </w:r>
      <w:r>
        <w:rPr>
          <w:rFonts w:ascii="Times New Roman" w:eastAsia="Times New Roman" w:hAnsi="Times New Roman" w:cs="Times New Roman"/>
          <w:highlight w:val="none"/>
        </w:rPr>
        <w:t>что перевод денежных средств через устройство самообслуживани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произведён с использованием персональных средств доступа; н</w:t>
      </w:r>
      <w:r>
        <w:rPr>
          <w:rFonts w:ascii="Times New Roman" w:eastAsia="Times New Roman" w:hAnsi="Times New Roman" w:cs="Times New Roman"/>
          <w:highlight w:val="none"/>
        </w:rPr>
        <w:t>а момент совершения спорных операции банковская карта истца не была заблокирована, доказательств обратного суду не представлено, в связи с чем суд</w:t>
      </w:r>
      <w:r>
        <w:rPr>
          <w:rFonts w:ascii="Times New Roman" w:eastAsia="Times New Roman" w:hAnsi="Times New Roman" w:cs="Times New Roman"/>
          <w:highlight w:val="none"/>
        </w:rPr>
        <w:t>ебная коллегия</w:t>
      </w:r>
      <w:r>
        <w:rPr>
          <w:rFonts w:ascii="Times New Roman" w:eastAsia="Times New Roman" w:hAnsi="Times New Roman" w:cs="Times New Roman"/>
          <w:highlight w:val="none"/>
        </w:rPr>
        <w:t xml:space="preserve"> приходит к выводу о том, что у банка имелись все основания полагать, что распоряжение на перечисление денежных средств дано уполномоченным лицом.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 входе в систему «Сбербанк Онл@йн» и проведении спорных операций были использованы верные данные банковской карты и пароли, лицо, вошедшее в систему, было идентифицировано как Клиент Банка, распоряжения которого обязательны к исполнению.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Оценив представленные доказательства в совокупности, суд</w:t>
      </w:r>
      <w:r>
        <w:rPr>
          <w:rFonts w:ascii="Times New Roman" w:eastAsia="Times New Roman" w:hAnsi="Times New Roman" w:cs="Times New Roman"/>
          <w:highlight w:val="none"/>
        </w:rPr>
        <w:t>ебная коллегия</w:t>
      </w:r>
      <w:r>
        <w:rPr>
          <w:rFonts w:ascii="Times New Roman" w:eastAsia="Times New Roman" w:hAnsi="Times New Roman" w:cs="Times New Roman"/>
          <w:highlight w:val="none"/>
        </w:rPr>
        <w:t xml:space="preserve"> исходит из того, что банк в данном случае не может нести ответственность как исполнитель услуги, поскольку банк действовал в соответствии с действующим законодательством Российской Федерации и договором, заключенным между банком и истцом. Между тем, для привлечения ответчика к ответственности в случае возникновения обстоятельств, указывающих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 xml:space="preserve">неправомерное </w:t>
      </w:r>
      <w:r>
        <w:rPr>
          <w:rFonts w:ascii="Times New Roman" w:eastAsia="Times New Roman" w:hAnsi="Times New Roman" w:cs="Times New Roman"/>
          <w:highlight w:val="none"/>
        </w:rPr>
        <w:t xml:space="preserve">списание денежных </w:t>
      </w:r>
      <w:r>
        <w:rPr>
          <w:rFonts w:ascii="Times New Roman" w:eastAsia="Times New Roman" w:hAnsi="Times New Roman" w:cs="Times New Roman"/>
          <w:highlight w:val="none"/>
        </w:rPr>
        <w:t xml:space="preserve">средств с банковской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 xml:space="preserve">, необходимо установить нарушение ответчиком договорного обязательства и как следствие возникновение в результате такого нарушения убытков у истца. При этом обязанность по доказыванию противоправного поведения банка и причинения убытков в результате нарушения условий договора лежит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 xml:space="preserve">владельце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>, то есть на истце.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Доказательств виновных действий ответчика по необоснованному списанию денежных средств со счета истца в ходе рассмотрения дела не установлено, напротив, при </w:t>
      </w:r>
      <w:r>
        <w:rPr>
          <w:rFonts w:ascii="Times New Roman" w:eastAsia="Times New Roman" w:hAnsi="Times New Roman" w:cs="Times New Roman"/>
          <w:highlight w:val="none"/>
        </w:rPr>
        <w:t xml:space="preserve">рассмотрении дела установлено, что ответчик действовал 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"https://rospravosudie.com/law/Статья_845_ГК_РФ"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ст.845 ГК РФ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выполняя надлежащим образом оформленное распоряжение о списании денежных средств, учитывая, что спорная операция совершена с использованием персональных средств доступа (номер мобильного телефона и код).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письменных пояснений и дополнениям к ней третьего лица </w:t>
      </w:r>
      <w:r>
        <w:rPr>
          <w:rStyle w:val="cat-FIOgrp-27rplc-6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10rplc-6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на ее карту </w:t>
      </w:r>
      <w:r>
        <w:rPr>
          <w:rFonts w:ascii="Times New Roman" w:eastAsia="Times New Roman" w:hAnsi="Times New Roman" w:cs="Times New Roman"/>
          <w:highlight w:val="none"/>
        </w:rPr>
        <w:t>№4279380012948875</w:t>
      </w:r>
      <w:r>
        <w:rPr>
          <w:rFonts w:ascii="Times New Roman" w:eastAsia="Times New Roman" w:hAnsi="Times New Roman" w:cs="Times New Roman"/>
          <w:highlight w:val="none"/>
        </w:rPr>
        <w:t xml:space="preserve"> были зачислены денежные средства в размере </w:t>
      </w:r>
      <w:r>
        <w:rPr>
          <w:rStyle w:val="cat-Sumgrp-33rplc-6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8rplc-6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карты </w:t>
      </w:r>
      <w:r>
        <w:rPr>
          <w:rStyle w:val="cat-FIOgrp-20rplc-7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качестве оплаты билетов на мероприятие, в организации которого участвовала </w:t>
      </w:r>
      <w:r>
        <w:rPr>
          <w:rStyle w:val="cat-FIOgrp-25rplc-7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и указанные объяснения подтверждают </w:t>
      </w:r>
      <w:r>
        <w:rPr>
          <w:rFonts w:ascii="Times New Roman" w:eastAsia="Times New Roman" w:hAnsi="Times New Roman" w:cs="Times New Roman"/>
          <w:highlight w:val="none"/>
        </w:rPr>
        <w:t>перевод денежных средств от</w:t>
      </w:r>
      <w:r>
        <w:rPr>
          <w:rFonts w:ascii="Times New Roman" w:eastAsia="Times New Roman" w:hAnsi="Times New Roman" w:cs="Times New Roman"/>
          <w:highlight w:val="none"/>
        </w:rPr>
        <w:t xml:space="preserve"> истца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7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карту </w:t>
      </w:r>
      <w:r>
        <w:rPr>
          <w:rFonts w:ascii="Times New Roman" w:eastAsia="Times New Roman" w:hAnsi="Times New Roman" w:cs="Times New Roman"/>
          <w:highlight w:val="none"/>
        </w:rPr>
        <w:t xml:space="preserve">третьего лица </w:t>
      </w:r>
      <w:r>
        <w:rPr>
          <w:rStyle w:val="cat-FIOgrp-27rplc-7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что соответствует </w:t>
      </w:r>
      <w:r>
        <w:rPr>
          <w:rFonts w:ascii="Times New Roman" w:eastAsia="Times New Roman" w:hAnsi="Times New Roman" w:cs="Times New Roman"/>
          <w:highlight w:val="none"/>
        </w:rPr>
        <w:t>представленным в материалы дела выпискам по счету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Исходя из установленных обстоятельств и представленных доказательств следует, что </w:t>
      </w:r>
      <w:r>
        <w:rPr>
          <w:rFonts w:ascii="Times New Roman" w:eastAsia="Times New Roman" w:hAnsi="Times New Roman" w:cs="Times New Roman"/>
          <w:highlight w:val="none"/>
        </w:rPr>
        <w:t>противоправности деяний ответч</w:t>
      </w:r>
      <w:r>
        <w:rPr>
          <w:rFonts w:ascii="Times New Roman" w:eastAsia="Times New Roman" w:hAnsi="Times New Roman" w:cs="Times New Roman"/>
          <w:highlight w:val="none"/>
        </w:rPr>
        <w:t>ика не имеется. С</w:t>
      </w:r>
      <w:r>
        <w:rPr>
          <w:rFonts w:ascii="Times New Roman" w:eastAsia="Times New Roman" w:hAnsi="Times New Roman" w:cs="Times New Roman"/>
          <w:highlight w:val="none"/>
        </w:rPr>
        <w:t>уд</w:t>
      </w:r>
      <w:r>
        <w:rPr>
          <w:rFonts w:ascii="Times New Roman" w:eastAsia="Times New Roman" w:hAnsi="Times New Roman" w:cs="Times New Roman"/>
          <w:highlight w:val="none"/>
        </w:rPr>
        <w:t>ебная коллегия</w:t>
      </w:r>
      <w:r>
        <w:rPr>
          <w:rFonts w:ascii="Times New Roman" w:eastAsia="Times New Roman" w:hAnsi="Times New Roman" w:cs="Times New Roman"/>
          <w:highlight w:val="none"/>
        </w:rPr>
        <w:t xml:space="preserve"> приходит к выводу о том, что исковые требования о взыскании неправомерно списанных денежных средств со счёта удовлетворению не подлежат.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Поскольку нет оснований для взыскания основной суммы, то также отсутствуют основания для удовлетворения производного требования о взыскании неустойки, компенсации морального вреда.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р</w:t>
      </w:r>
      <w:r>
        <w:rPr>
          <w:rFonts w:ascii="Times New Roman" w:eastAsia="Times New Roman" w:hAnsi="Times New Roman" w:cs="Times New Roman"/>
          <w:highlight w:val="none"/>
        </w:rPr>
        <w:t>уководствуясь ст.</w:t>
      </w:r>
      <w:r>
        <w:rPr>
          <w:rFonts w:ascii="Times New Roman" w:eastAsia="Times New Roman" w:hAnsi="Times New Roman" w:cs="Times New Roman"/>
          <w:highlight w:val="none"/>
        </w:rPr>
        <w:t xml:space="preserve">ст. </w:t>
      </w:r>
      <w:r>
        <w:rPr>
          <w:rFonts w:ascii="Times New Roman" w:eastAsia="Times New Roman" w:hAnsi="Times New Roman" w:cs="Times New Roman"/>
          <w:highlight w:val="none"/>
        </w:rPr>
        <w:t>32</w:t>
      </w:r>
      <w:r>
        <w:rPr>
          <w:rFonts w:ascii="Times New Roman" w:eastAsia="Times New Roman" w:hAnsi="Times New Roman" w:cs="Times New Roman"/>
          <w:highlight w:val="none"/>
        </w:rPr>
        <w:t>7-</w:t>
      </w:r>
      <w:r>
        <w:rPr>
          <w:rFonts w:ascii="Times New Roman" w:eastAsia="Times New Roman" w:hAnsi="Times New Roman" w:cs="Times New Roman"/>
          <w:highlight w:val="none"/>
        </w:rPr>
        <w:t>330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судебная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коллегия </w:t>
      </w:r>
    </w:p>
    <w:p>
      <w:pPr>
        <w:spacing w:before="0" w:after="0" w:line="240" w:lineRule="atLeast"/>
        <w:ind w:firstLine="567"/>
        <w:jc w:val="center"/>
      </w:pPr>
    </w:p>
    <w:p>
      <w:pPr>
        <w:spacing w:before="0" w:after="0" w:line="240" w:lineRule="atLeast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spacing w:before="0" w:after="0" w:line="240" w:lineRule="atLeast"/>
        <w:jc w:val="center"/>
      </w:pP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>Гагаринского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7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7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отменить.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ринять </w:t>
      </w:r>
      <w:r>
        <w:rPr>
          <w:rFonts w:ascii="Times New Roman" w:eastAsia="Times New Roman" w:hAnsi="Times New Roman" w:cs="Times New Roman"/>
          <w:highlight w:val="none"/>
        </w:rPr>
        <w:t>по делу новое решение.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22rplc-7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OrganizationNamegrp-34rplc-7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ущерба, неустойки, компенсации морального вреда - отказать.</w:t>
      </w:r>
    </w:p>
    <w:p>
      <w:pPr>
        <w:spacing w:before="0" w:after="0" w:line="240" w:lineRule="atLeast"/>
        <w:ind w:firstLine="567"/>
      </w:pPr>
    </w:p>
    <w:p>
      <w:pPr>
        <w:spacing w:before="0" w:after="0" w:line="240" w:lineRule="atLeast"/>
        <w:ind w:firstLine="567"/>
      </w:pPr>
    </w:p>
    <w:p>
      <w:pPr>
        <w:spacing w:before="0" w:after="0" w:line="240" w:lineRule="atLeast"/>
        <w:ind w:firstLine="567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Председательствующий:</w:t>
      </w:r>
    </w:p>
    <w:p>
      <w:pPr>
        <w:spacing w:before="0" w:after="0" w:line="240" w:lineRule="atLeast"/>
        <w:ind w:firstLine="567"/>
      </w:pPr>
    </w:p>
    <w:p>
      <w:pPr>
        <w:spacing w:before="0" w:after="0" w:line="240" w:lineRule="atLeast"/>
        <w:ind w:firstLine="567"/>
      </w:pPr>
    </w:p>
    <w:p>
      <w:pPr>
        <w:spacing w:before="0" w:after="0" w:line="240" w:lineRule="atLeast"/>
        <w:ind w:firstLine="567"/>
      </w:pPr>
      <w:r>
        <w:rPr>
          <w:rFonts w:ascii="Times New Roman" w:eastAsia="Times New Roman" w:hAnsi="Times New Roman" w:cs="Times New Roman"/>
          <w:highlight w:val="none"/>
        </w:rPr>
        <w:t>Судьи:</w:t>
      </w:r>
    </w:p>
    <w:p>
      <w:pPr>
        <w:spacing w:before="0" w:after="0" w:line="240" w:lineRule="atLeast"/>
        <w:ind w:firstLine="567"/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>
      <w:rPr>
        <w:rFonts w:ascii="Times New Roman" w:eastAsia="Times New Roman" w:hAnsi="Times New Roman" w:cs="Times New Roman"/>
        <w:highlight w:val="none"/>
      </w:rPr>
      <w:t>1</w:t>
    </w:r>
    <w:r>
      <w:rPr>
        <w:rFonts w:ascii="Times New Roman" w:eastAsia="Times New Roman" w:hAnsi="Times New Roman" w:cs="Times New Roman"/>
      </w:rPr>
      <w:fldChar w:fldCharType="end"/>
    </w:r>
  </w:p>
  <w:p>
    <w:pPr>
      <w:spacing w:before="0" w:after="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15rplc-0">
    <w:name w:val="cat-FIO grp-15 rplc-0"/>
    <w:basedOn w:val="DefaultParagraphFont"/>
  </w:style>
  <w:style w:type="character" w:customStyle="1" w:styleId="cat-Dategrp-3rplc-1">
    <w:name w:val="cat-Date grp-3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16rplc-3">
    <w:name w:val="cat-FIO grp-16 rplc-3"/>
    <w:basedOn w:val="DefaultParagraphFont"/>
  </w:style>
  <w:style w:type="character" w:customStyle="1" w:styleId="cat-FIOgrp-17rplc-4">
    <w:name w:val="cat-FIO grp-17 rplc-4"/>
    <w:basedOn w:val="DefaultParagraphFont"/>
  </w:style>
  <w:style w:type="character" w:customStyle="1" w:styleId="cat-FIOgrp-18rplc-5">
    <w:name w:val="cat-FIO grp-18 rplc-5"/>
    <w:basedOn w:val="DefaultParagraphFont"/>
  </w:style>
  <w:style w:type="character" w:customStyle="1" w:styleId="cat-FIOgrp-19rplc-6">
    <w:name w:val="cat-FIO grp-19 rplc-6"/>
    <w:basedOn w:val="DefaultParagraphFont"/>
  </w:style>
  <w:style w:type="character" w:customStyle="1" w:styleId="cat-FIOgrp-17rplc-7">
    <w:name w:val="cat-FIO grp-17 rplc-7"/>
    <w:basedOn w:val="DefaultParagraphFont"/>
  </w:style>
  <w:style w:type="character" w:customStyle="1" w:styleId="cat-FIOgrp-20rplc-8">
    <w:name w:val="cat-FIO grp-20 rplc-8"/>
    <w:basedOn w:val="DefaultParagraphFont"/>
  </w:style>
  <w:style w:type="character" w:customStyle="1" w:styleId="cat-FIOgrp-21rplc-9">
    <w:name w:val="cat-FIO grp-21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Dategrp-4rplc-11">
    <w:name w:val="cat-Date grp-4 rplc-11"/>
    <w:basedOn w:val="DefaultParagraphFont"/>
  </w:style>
  <w:style w:type="character" w:customStyle="1" w:styleId="cat-FIOgrp-22rplc-12">
    <w:name w:val="cat-FIO grp-22 rplc-12"/>
    <w:basedOn w:val="DefaultParagraphFont"/>
  </w:style>
  <w:style w:type="character" w:customStyle="1" w:styleId="cat-OrganizationNamegrp-34rplc-13">
    <w:name w:val="cat-OrganizationName grp-34 rplc-13"/>
    <w:basedOn w:val="DefaultParagraphFont"/>
  </w:style>
  <w:style w:type="character" w:customStyle="1" w:styleId="cat-FIOgrp-20rplc-14">
    <w:name w:val="cat-FIO grp-20 rplc-14"/>
    <w:basedOn w:val="DefaultParagraphFont"/>
  </w:style>
  <w:style w:type="character" w:customStyle="1" w:styleId="cat-OrganizationNamegrp-34rplc-15">
    <w:name w:val="cat-OrganizationName grp-34 rplc-15"/>
    <w:basedOn w:val="DefaultParagraphFont"/>
  </w:style>
  <w:style w:type="character" w:customStyle="1" w:styleId="cat-Sumgrp-29rplc-16">
    <w:name w:val="cat-Sum grp-29 rplc-16"/>
    <w:basedOn w:val="DefaultParagraphFont"/>
  </w:style>
  <w:style w:type="character" w:customStyle="1" w:styleId="cat-Dategrp-5rplc-17">
    <w:name w:val="cat-Date grp-5 rplc-17"/>
    <w:basedOn w:val="DefaultParagraphFont"/>
  </w:style>
  <w:style w:type="character" w:customStyle="1" w:styleId="cat-Dategrp-6rplc-18">
    <w:name w:val="cat-Date grp-6 rplc-18"/>
    <w:basedOn w:val="DefaultParagraphFont"/>
  </w:style>
  <w:style w:type="character" w:customStyle="1" w:styleId="cat-Sumgrp-29rplc-19">
    <w:name w:val="cat-Sum grp-29 rplc-19"/>
    <w:basedOn w:val="DefaultParagraphFont"/>
  </w:style>
  <w:style w:type="character" w:customStyle="1" w:styleId="cat-Dategrp-5rplc-20">
    <w:name w:val="cat-Date grp-5 rplc-20"/>
    <w:basedOn w:val="DefaultParagraphFont"/>
  </w:style>
  <w:style w:type="character" w:customStyle="1" w:styleId="cat-Dategrp-6rplc-21">
    <w:name w:val="cat-Date grp-6 rplc-21"/>
    <w:basedOn w:val="DefaultParagraphFont"/>
  </w:style>
  <w:style w:type="character" w:customStyle="1" w:styleId="cat-Sumgrp-30rplc-22">
    <w:name w:val="cat-Sum grp-30 rplc-22"/>
    <w:basedOn w:val="DefaultParagraphFont"/>
  </w:style>
  <w:style w:type="character" w:customStyle="1" w:styleId="cat-Sumgrp-31rplc-23">
    <w:name w:val="cat-Sum grp-31 rplc-23"/>
    <w:basedOn w:val="DefaultParagraphFont"/>
  </w:style>
  <w:style w:type="character" w:customStyle="1" w:styleId="cat-Dategrp-7rplc-24">
    <w:name w:val="cat-Date grp-7 rplc-24"/>
    <w:basedOn w:val="DefaultParagraphFont"/>
  </w:style>
  <w:style w:type="character" w:customStyle="1" w:styleId="cat-Dategrp-8rplc-25">
    <w:name w:val="cat-Date grp-8 rplc-25"/>
    <w:basedOn w:val="DefaultParagraphFont"/>
  </w:style>
  <w:style w:type="character" w:customStyle="1" w:styleId="cat-FIOgrp-20rplc-26">
    <w:name w:val="cat-FIO grp-20 rplc-26"/>
    <w:basedOn w:val="DefaultParagraphFont"/>
  </w:style>
  <w:style w:type="character" w:customStyle="1" w:styleId="cat-Sumgrp-29rplc-27">
    <w:name w:val="cat-Sum grp-29 rplc-27"/>
    <w:basedOn w:val="DefaultParagraphFont"/>
  </w:style>
  <w:style w:type="character" w:customStyle="1" w:styleId="cat-Dategrp-9rplc-28">
    <w:name w:val="cat-Date grp-9 rplc-28"/>
    <w:basedOn w:val="DefaultParagraphFont"/>
  </w:style>
  <w:style w:type="character" w:customStyle="1" w:styleId="cat-FIOgrp-20rplc-29">
    <w:name w:val="cat-FIO grp-20 rplc-29"/>
    <w:basedOn w:val="DefaultParagraphFont"/>
  </w:style>
  <w:style w:type="character" w:customStyle="1" w:styleId="cat-OrganizationNamegrp-35rplc-30">
    <w:name w:val="cat-OrganizationName grp-35 rplc-30"/>
    <w:basedOn w:val="DefaultParagraphFont"/>
  </w:style>
  <w:style w:type="character" w:customStyle="1" w:styleId="cat-Dategrp-10rplc-31">
    <w:name w:val="cat-Date grp-10 rplc-31"/>
    <w:basedOn w:val="DefaultParagraphFont"/>
  </w:style>
  <w:style w:type="character" w:customStyle="1" w:styleId="cat-Timegrp-39rplc-32">
    <w:name w:val="cat-Time grp-39 rplc-32"/>
    <w:basedOn w:val="DefaultParagraphFont"/>
  </w:style>
  <w:style w:type="character" w:customStyle="1" w:styleId="cat-FIOgrp-20rplc-33">
    <w:name w:val="cat-FIO grp-20 rplc-33"/>
    <w:basedOn w:val="DefaultParagraphFont"/>
  </w:style>
  <w:style w:type="character" w:customStyle="1" w:styleId="cat-FIOgrp-23rplc-34">
    <w:name w:val="cat-FIO grp-23 rplc-34"/>
    <w:basedOn w:val="DefaultParagraphFont"/>
  </w:style>
  <w:style w:type="character" w:customStyle="1" w:styleId="cat-Sumgrp-32rplc-35">
    <w:name w:val="cat-Sum grp-32 rplc-35"/>
    <w:basedOn w:val="DefaultParagraphFont"/>
  </w:style>
  <w:style w:type="character" w:customStyle="1" w:styleId="cat-FIOgrp-20rplc-36">
    <w:name w:val="cat-FIO grp-20 rplc-36"/>
    <w:basedOn w:val="DefaultParagraphFont"/>
  </w:style>
  <w:style w:type="character" w:customStyle="1" w:styleId="cat-FIOgrp-20rplc-37">
    <w:name w:val="cat-FIO grp-20 rplc-37"/>
    <w:basedOn w:val="DefaultParagraphFont"/>
  </w:style>
  <w:style w:type="character" w:customStyle="1" w:styleId="cat-FIOgrp-21rplc-38">
    <w:name w:val="cat-FIO grp-21 rplc-38"/>
    <w:basedOn w:val="DefaultParagraphFont"/>
  </w:style>
  <w:style w:type="character" w:customStyle="1" w:styleId="cat-OrganizationNamegrp-34rplc-39">
    <w:name w:val="cat-OrganizationName grp-34 rplc-39"/>
    <w:basedOn w:val="DefaultParagraphFont"/>
  </w:style>
  <w:style w:type="character" w:customStyle="1" w:styleId="cat-FIOgrp-24rplc-40">
    <w:name w:val="cat-FIO grp-24 rplc-40"/>
    <w:basedOn w:val="DefaultParagraphFont"/>
  </w:style>
  <w:style w:type="character" w:customStyle="1" w:styleId="cat-FIOgrp-25rplc-41">
    <w:name w:val="cat-FIO grp-25 rplc-41"/>
    <w:basedOn w:val="DefaultParagraphFont"/>
  </w:style>
  <w:style w:type="character" w:customStyle="1" w:styleId="cat-Dategrp-11rplc-42">
    <w:name w:val="cat-Date grp-11 rplc-42"/>
    <w:basedOn w:val="DefaultParagraphFont"/>
  </w:style>
  <w:style w:type="character" w:customStyle="1" w:styleId="cat-FIOgrp-25rplc-43">
    <w:name w:val="cat-FIO grp-25 rplc-43"/>
    <w:basedOn w:val="DefaultParagraphFont"/>
  </w:style>
  <w:style w:type="character" w:customStyle="1" w:styleId="cat-FIOgrp-20rplc-44">
    <w:name w:val="cat-FIO grp-20 rplc-44"/>
    <w:basedOn w:val="DefaultParagraphFont"/>
  </w:style>
  <w:style w:type="character" w:customStyle="1" w:styleId="cat-FIOgrp-21rplc-45">
    <w:name w:val="cat-FIO grp-21 rplc-45"/>
    <w:basedOn w:val="DefaultParagraphFont"/>
  </w:style>
  <w:style w:type="character" w:customStyle="1" w:styleId="cat-FIOgrp-24rplc-46">
    <w:name w:val="cat-FIO grp-24 rplc-46"/>
    <w:basedOn w:val="DefaultParagraphFont"/>
  </w:style>
  <w:style w:type="character" w:customStyle="1" w:styleId="cat-FIOgrp-25rplc-47">
    <w:name w:val="cat-FIO grp-25 rplc-47"/>
    <w:basedOn w:val="DefaultParagraphFont"/>
  </w:style>
  <w:style w:type="character" w:customStyle="1" w:styleId="cat-FIOgrp-20rplc-48">
    <w:name w:val="cat-FIO grp-20 rplc-48"/>
    <w:basedOn w:val="DefaultParagraphFont"/>
  </w:style>
  <w:style w:type="character" w:customStyle="1" w:styleId="cat-Dategrp-12rplc-49">
    <w:name w:val="cat-Date grp-12 rplc-49"/>
    <w:basedOn w:val="DefaultParagraphFont"/>
  </w:style>
  <w:style w:type="character" w:customStyle="1" w:styleId="cat-PhoneNumbergrp-40rplc-50">
    <w:name w:val="cat-PhoneNumber grp-40 rplc-50"/>
    <w:basedOn w:val="DefaultParagraphFont"/>
  </w:style>
  <w:style w:type="character" w:customStyle="1" w:styleId="cat-FIOgrp-20rplc-51">
    <w:name w:val="cat-FIO grp-20 rplc-51"/>
    <w:basedOn w:val="DefaultParagraphFont"/>
  </w:style>
  <w:style w:type="character" w:customStyle="1" w:styleId="cat-FIOgrp-26rplc-52">
    <w:name w:val="cat-FIO grp-26 rplc-52"/>
    <w:basedOn w:val="DefaultParagraphFont"/>
  </w:style>
  <w:style w:type="character" w:customStyle="1" w:styleId="cat-Sumgrp-33rplc-53">
    <w:name w:val="cat-Sum grp-33 rplc-53"/>
    <w:basedOn w:val="DefaultParagraphFont"/>
  </w:style>
  <w:style w:type="character" w:customStyle="1" w:styleId="cat-OrganizationNamegrp-37rplc-54">
    <w:name w:val="cat-OrganizationName grp-37 rplc-54"/>
    <w:basedOn w:val="DefaultParagraphFont"/>
  </w:style>
  <w:style w:type="character" w:customStyle="1" w:styleId="cat-OrganizationNamegrp-38rplc-55">
    <w:name w:val="cat-OrganizationName grp-38 rplc-55"/>
    <w:basedOn w:val="DefaultParagraphFont"/>
  </w:style>
  <w:style w:type="character" w:customStyle="1" w:styleId="cat-OrganizationNamegrp-36rplc-56">
    <w:name w:val="cat-OrganizationName grp-36 rplc-56"/>
    <w:basedOn w:val="DefaultParagraphFont"/>
  </w:style>
  <w:style w:type="character" w:customStyle="1" w:styleId="cat-Dategrp-13rplc-57">
    <w:name w:val="cat-Date grp-13 rplc-57"/>
    <w:basedOn w:val="DefaultParagraphFont"/>
  </w:style>
  <w:style w:type="character" w:customStyle="1" w:styleId="cat-OrganizationNamegrp-36rplc-58">
    <w:name w:val="cat-OrganizationName grp-36 rplc-58"/>
    <w:basedOn w:val="DefaultParagraphFont"/>
  </w:style>
  <w:style w:type="character" w:customStyle="1" w:styleId="cat-Dategrp-14rplc-59">
    <w:name w:val="cat-Date grp-14 rplc-59"/>
    <w:basedOn w:val="DefaultParagraphFont"/>
  </w:style>
  <w:style w:type="character" w:customStyle="1" w:styleId="cat-Addressgrp-2rplc-60">
    <w:name w:val="cat-Address grp-2 rplc-60"/>
    <w:basedOn w:val="DefaultParagraphFont"/>
  </w:style>
  <w:style w:type="character" w:customStyle="1" w:styleId="cat-Addressgrp-2rplc-61">
    <w:name w:val="cat-Address grp-2 rplc-61"/>
    <w:basedOn w:val="DefaultParagraphFont"/>
  </w:style>
  <w:style w:type="character" w:customStyle="1" w:styleId="cat-Addressgrp-2rplc-62">
    <w:name w:val="cat-Address grp-2 rplc-62"/>
    <w:basedOn w:val="DefaultParagraphFont"/>
  </w:style>
  <w:style w:type="character" w:customStyle="1" w:styleId="cat-Addressgrp-2rplc-63">
    <w:name w:val="cat-Address grp-2 rplc-63"/>
    <w:basedOn w:val="DefaultParagraphFont"/>
  </w:style>
  <w:style w:type="character" w:customStyle="1" w:styleId="cat-Addressgrp-2rplc-64">
    <w:name w:val="cat-Address grp-2 rplc-64"/>
    <w:basedOn w:val="DefaultParagraphFont"/>
  </w:style>
  <w:style w:type="character" w:customStyle="1" w:styleId="cat-PhoneNumbergrp-41rplc-65">
    <w:name w:val="cat-PhoneNumber grp-41 rplc-65"/>
    <w:basedOn w:val="DefaultParagraphFont"/>
  </w:style>
  <w:style w:type="character" w:customStyle="1" w:styleId="cat-FIOgrp-27rplc-66">
    <w:name w:val="cat-FIO grp-27 rplc-66"/>
    <w:basedOn w:val="DefaultParagraphFont"/>
  </w:style>
  <w:style w:type="character" w:customStyle="1" w:styleId="cat-Dategrp-10rplc-67">
    <w:name w:val="cat-Date grp-10 rplc-67"/>
    <w:basedOn w:val="DefaultParagraphFont"/>
  </w:style>
  <w:style w:type="character" w:customStyle="1" w:styleId="cat-Sumgrp-33rplc-68">
    <w:name w:val="cat-Sum grp-33 rplc-68"/>
    <w:basedOn w:val="DefaultParagraphFont"/>
  </w:style>
  <w:style w:type="character" w:customStyle="1" w:styleId="cat-FIOgrp-28rplc-69">
    <w:name w:val="cat-FIO grp-28 rplc-69"/>
    <w:basedOn w:val="DefaultParagraphFont"/>
  </w:style>
  <w:style w:type="character" w:customStyle="1" w:styleId="cat-FIOgrp-20rplc-70">
    <w:name w:val="cat-FIO grp-20 rplc-70"/>
    <w:basedOn w:val="DefaultParagraphFont"/>
  </w:style>
  <w:style w:type="character" w:customStyle="1" w:styleId="cat-FIOgrp-25rplc-71">
    <w:name w:val="cat-FIO grp-25 rplc-71"/>
    <w:basedOn w:val="DefaultParagraphFont"/>
  </w:style>
  <w:style w:type="character" w:customStyle="1" w:styleId="cat-FIOgrp-20rplc-72">
    <w:name w:val="cat-FIO grp-20 rplc-72"/>
    <w:basedOn w:val="DefaultParagraphFont"/>
  </w:style>
  <w:style w:type="character" w:customStyle="1" w:styleId="cat-FIOgrp-27rplc-73">
    <w:name w:val="cat-FIO grp-27 rplc-73"/>
    <w:basedOn w:val="DefaultParagraphFont"/>
  </w:style>
  <w:style w:type="character" w:customStyle="1" w:styleId="cat-Addressgrp-0rplc-74">
    <w:name w:val="cat-Address grp-0 rplc-74"/>
    <w:basedOn w:val="DefaultParagraphFont"/>
  </w:style>
  <w:style w:type="character" w:customStyle="1" w:styleId="cat-Dategrp-4rplc-75">
    <w:name w:val="cat-Date grp-4 rplc-75"/>
    <w:basedOn w:val="DefaultParagraphFont"/>
  </w:style>
  <w:style w:type="character" w:customStyle="1" w:styleId="cat-FIOgrp-22rplc-76">
    <w:name w:val="cat-FIO grp-22 rplc-76"/>
    <w:basedOn w:val="DefaultParagraphFont"/>
  </w:style>
  <w:style w:type="character" w:customStyle="1" w:styleId="cat-OrganizationNamegrp-34rplc-77">
    <w:name w:val="cat-OrganizationName grp-34 rplc-7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