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FE594F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bookmarkStart w:id="0" w:name="_GoBack"/>
      <w:bookmarkEnd w:id="0"/>
      <w:r w:rsidRPr="00C74669">
        <w:rPr>
          <w:color w:val="000000"/>
          <w:sz w:val="24"/>
          <w:szCs w:val="24"/>
        </w:rPr>
        <w:t xml:space="preserve">Судья суда первой инстанции: Гусакова Д.В.                     </w:t>
      </w:r>
      <w:r w:rsidRPr="00C74669">
        <w:rPr>
          <w:color w:val="000000"/>
          <w:sz w:val="24"/>
          <w:szCs w:val="24"/>
        </w:rPr>
        <w:tab/>
        <w:t>Дело № 33-19725/17</w:t>
      </w:r>
    </w:p>
    <w:p w14:paraId="12B4FFFF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44CD9A60" w14:textId="77777777" w:rsidR="00CB6463" w:rsidRPr="00C74669" w:rsidRDefault="00FD545C" w:rsidP="00CB6463">
      <w:pPr>
        <w:ind w:firstLine="851"/>
        <w:jc w:val="center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А П Е Л Л Я Ц И О Н Н О Е   О П Р Е Д Е Л Е Н И Е</w:t>
      </w:r>
    </w:p>
    <w:p w14:paraId="1EA82C52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34B8F84B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02 июня 2017 года                                                                              г. Москва</w:t>
      </w:r>
    </w:p>
    <w:p w14:paraId="371A190F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7F4016AF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Судебная коллег</w:t>
      </w:r>
      <w:r w:rsidRPr="00C74669">
        <w:rPr>
          <w:color w:val="000000"/>
          <w:sz w:val="24"/>
          <w:szCs w:val="24"/>
        </w:rPr>
        <w:t>ия по гражданским делам Московского городского суда в составе</w:t>
      </w:r>
    </w:p>
    <w:p w14:paraId="58B3274B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председательствующего Чубаровой Н.В.,</w:t>
      </w:r>
    </w:p>
    <w:p w14:paraId="6BF73B7D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судей Анашкина А.А., Бузуновой Г.Н.,</w:t>
      </w:r>
    </w:p>
    <w:p w14:paraId="06B2230C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при секретаре Поповой Я.С.,</w:t>
      </w:r>
    </w:p>
    <w:p w14:paraId="7AF747EA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заслушав в открытом судебном заседании по докладу судьи Анашкина А.А. дело по апелляционной</w:t>
      </w:r>
      <w:r w:rsidRPr="00C74669">
        <w:rPr>
          <w:color w:val="000000"/>
          <w:sz w:val="24"/>
          <w:szCs w:val="24"/>
        </w:rPr>
        <w:t xml:space="preserve"> жалобе представителя Пронь В.Д. по доверенности Самборской О.В.,</w:t>
      </w:r>
    </w:p>
    <w:p w14:paraId="7B8EE3ED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 xml:space="preserve">на решение Дорогомиловского районного суда г. Москвы от 01 февраля 2017 года, которым постановлено:      </w:t>
      </w:r>
    </w:p>
    <w:p w14:paraId="33CAE81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В удовлетворении исковых требований Пронь В</w:t>
      </w:r>
      <w:r>
        <w:rPr>
          <w:sz w:val="24"/>
          <w:szCs w:val="24"/>
        </w:rPr>
        <w:t>.</w:t>
      </w:r>
      <w:r w:rsidRPr="00C74669">
        <w:rPr>
          <w:sz w:val="24"/>
          <w:szCs w:val="24"/>
        </w:rPr>
        <w:t>Д</w:t>
      </w:r>
      <w:r>
        <w:rPr>
          <w:sz w:val="24"/>
          <w:szCs w:val="24"/>
        </w:rPr>
        <w:t>.</w:t>
      </w:r>
      <w:r w:rsidRPr="00C74669">
        <w:rPr>
          <w:sz w:val="24"/>
          <w:szCs w:val="24"/>
        </w:rPr>
        <w:t xml:space="preserve"> к ПАО «Сбербанк России» о защите прав</w:t>
      </w:r>
      <w:r w:rsidRPr="00C74669">
        <w:rPr>
          <w:sz w:val="24"/>
          <w:szCs w:val="24"/>
        </w:rPr>
        <w:t xml:space="preserve"> потребителя, - отказать. </w:t>
      </w:r>
    </w:p>
    <w:p w14:paraId="0A37ABD5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14C7B132" w14:textId="77777777" w:rsidR="00CB6463" w:rsidRPr="00C74669" w:rsidRDefault="00FD545C" w:rsidP="00CB6463">
      <w:pPr>
        <w:ind w:firstLine="851"/>
        <w:jc w:val="center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УСТАНОВИЛА:</w:t>
      </w:r>
    </w:p>
    <w:p w14:paraId="4BE58216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3EBC654D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Пронь В</w:t>
      </w:r>
      <w:r>
        <w:rPr>
          <w:sz w:val="24"/>
          <w:szCs w:val="24"/>
        </w:rPr>
        <w:t>.</w:t>
      </w:r>
      <w:r w:rsidRPr="00C74669">
        <w:rPr>
          <w:sz w:val="24"/>
          <w:szCs w:val="24"/>
        </w:rPr>
        <w:t>Д</w:t>
      </w:r>
      <w:r>
        <w:rPr>
          <w:sz w:val="24"/>
          <w:szCs w:val="24"/>
        </w:rPr>
        <w:t>.</w:t>
      </w:r>
      <w:r w:rsidRPr="00C74669">
        <w:rPr>
          <w:sz w:val="24"/>
          <w:szCs w:val="24"/>
        </w:rPr>
        <w:t xml:space="preserve"> обратился в суд с иско</w:t>
      </w:r>
      <w:r>
        <w:rPr>
          <w:sz w:val="24"/>
          <w:szCs w:val="24"/>
        </w:rPr>
        <w:t>м к ответчику о взыскании убытков,</w:t>
      </w:r>
      <w:r w:rsidRPr="00C74669">
        <w:rPr>
          <w:sz w:val="24"/>
          <w:szCs w:val="24"/>
        </w:rPr>
        <w:t xml:space="preserve"> мотивируя их </w:t>
      </w:r>
      <w:r>
        <w:rPr>
          <w:sz w:val="24"/>
          <w:szCs w:val="24"/>
        </w:rPr>
        <w:t>тем, что Пронь В.Д. имел</w:t>
      </w:r>
      <w:r w:rsidRPr="00C74669">
        <w:rPr>
          <w:sz w:val="24"/>
          <w:szCs w:val="24"/>
        </w:rPr>
        <w:t xml:space="preserve"> валютный счет №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в ПАО «Сбербанк России». На указанном счете истца были размещены денежные средства в размер</w:t>
      </w:r>
      <w:r w:rsidRPr="00C74669">
        <w:rPr>
          <w:sz w:val="24"/>
          <w:szCs w:val="24"/>
        </w:rPr>
        <w:t xml:space="preserve">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долларов США. В 2015 году Пронь В.Д. не обнаружил на данном валютном счете денежные средства в размере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>долларов США. Списание денежных средств в указанном размере произошло в тот момент, когда истец находился за пределами Российской Федерации. В г. М</w:t>
      </w:r>
      <w:r w:rsidRPr="00C74669">
        <w:rPr>
          <w:sz w:val="24"/>
          <w:szCs w:val="24"/>
        </w:rPr>
        <w:t xml:space="preserve">оскву Пронь В.Д. вернулся 01 марта 2015 года и в марте 2015 года обратился в отделение ПАО «Сбербанк России» с претензией. Истец указывал, что он не мог воспользоваться банковской картой при проведении операции 05 ноября 2015 года, следовательно, списание </w:t>
      </w:r>
      <w:r w:rsidRPr="00C74669">
        <w:rPr>
          <w:sz w:val="24"/>
          <w:szCs w:val="24"/>
        </w:rPr>
        <w:t xml:space="preserve">денежных средств с его счета стало возможным в результате не обеспечения Банком технической защищенности лицевого счета истца. С учетом поданных уточнений к иску, истец просил суд: взыскать с ПАО «Сбербанк России» в его пользу денежные средства в размере </w:t>
      </w:r>
      <w:r>
        <w:rPr>
          <w:sz w:val="24"/>
          <w:szCs w:val="24"/>
        </w:rPr>
        <w:t>…</w:t>
      </w:r>
      <w:r>
        <w:rPr>
          <w:sz w:val="24"/>
          <w:szCs w:val="24"/>
        </w:rPr>
        <w:t>.</w:t>
      </w:r>
      <w:r w:rsidRPr="00C74669">
        <w:rPr>
          <w:sz w:val="24"/>
          <w:szCs w:val="24"/>
        </w:rPr>
        <w:t xml:space="preserve"> долларов США, неустойку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долларов США, компенсацию морального вреда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копеек, судебные расходы по оплате услуг представителя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>копеек, расходы на нотариальные услуги по оформлению доверенности на представит</w:t>
      </w:r>
      <w:r w:rsidRPr="00C74669">
        <w:rPr>
          <w:sz w:val="24"/>
          <w:szCs w:val="24"/>
        </w:rPr>
        <w:t xml:space="preserve">еля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копеек. </w:t>
      </w:r>
    </w:p>
    <w:p w14:paraId="5C87169C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</w:p>
    <w:p w14:paraId="457B3E21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Представитель истца, истец, в судебное заседание явились, исковые требования поддержали, дали объяснения по доводам и основаниям, изложенным в иске. </w:t>
      </w:r>
    </w:p>
    <w:p w14:paraId="240B6190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</w:p>
    <w:p w14:paraId="63AAA887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Представитель ответчика в судебное заседание явился, против удовлетворе</w:t>
      </w:r>
      <w:r w:rsidRPr="00C74669">
        <w:rPr>
          <w:sz w:val="24"/>
          <w:szCs w:val="24"/>
        </w:rPr>
        <w:t xml:space="preserve">ния иска возражал по доводам и основаниям, изложенным в представленных письменных возражениях на иск. </w:t>
      </w:r>
    </w:p>
    <w:p w14:paraId="25102D5E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</w:p>
    <w:p w14:paraId="78A93F52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Судом постановлено указанное выше решение, об отмене которого просит </w:t>
      </w:r>
      <w:r w:rsidRPr="00C74669">
        <w:rPr>
          <w:color w:val="000000"/>
          <w:sz w:val="24"/>
          <w:szCs w:val="24"/>
        </w:rPr>
        <w:t>представител</w:t>
      </w:r>
      <w:r>
        <w:rPr>
          <w:color w:val="000000"/>
          <w:sz w:val="24"/>
          <w:szCs w:val="24"/>
        </w:rPr>
        <w:t>ь</w:t>
      </w:r>
      <w:r w:rsidRPr="00C74669">
        <w:rPr>
          <w:color w:val="000000"/>
          <w:sz w:val="24"/>
          <w:szCs w:val="24"/>
        </w:rPr>
        <w:t xml:space="preserve"> Пронь В.Д. по доверенности Самборск</w:t>
      </w:r>
      <w:r>
        <w:rPr>
          <w:color w:val="000000"/>
          <w:sz w:val="24"/>
          <w:szCs w:val="24"/>
        </w:rPr>
        <w:t>ая</w:t>
      </w:r>
      <w:r w:rsidRPr="00C74669">
        <w:rPr>
          <w:color w:val="000000"/>
          <w:sz w:val="24"/>
          <w:szCs w:val="24"/>
        </w:rPr>
        <w:t xml:space="preserve"> О.В.,</w:t>
      </w:r>
      <w:r>
        <w:rPr>
          <w:color w:val="000000"/>
          <w:sz w:val="24"/>
          <w:szCs w:val="24"/>
        </w:rPr>
        <w:t xml:space="preserve"> в частности потому, что б</w:t>
      </w:r>
      <w:r>
        <w:rPr>
          <w:color w:val="000000"/>
          <w:sz w:val="24"/>
          <w:szCs w:val="24"/>
        </w:rPr>
        <w:t>ез распоряжения истца ответчиком были неправомерно списаны денежные средства в сумме … долларов США, поскольку Пронь В.Д. в спорный период находился за пределами РФ и воспользоваться системой «Сбербанк Онлайн» он не мог.</w:t>
      </w:r>
    </w:p>
    <w:p w14:paraId="0FEF1445" w14:textId="77777777" w:rsidR="00CB6463" w:rsidRDefault="00FD545C" w:rsidP="00CB6463">
      <w:pPr>
        <w:ind w:firstLine="426"/>
        <w:jc w:val="both"/>
        <w:rPr>
          <w:sz w:val="24"/>
          <w:szCs w:val="24"/>
        </w:rPr>
      </w:pPr>
    </w:p>
    <w:p w14:paraId="61E948B2" w14:textId="77777777" w:rsidR="00CB6463" w:rsidRDefault="00FD545C" w:rsidP="00CB6463">
      <w:pPr>
        <w:ind w:firstLine="426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Пронь В.Д., а также его </w:t>
      </w:r>
      <w:r w:rsidRPr="00C74669">
        <w:rPr>
          <w:color w:val="000000"/>
          <w:sz w:val="24"/>
          <w:szCs w:val="24"/>
        </w:rPr>
        <w:t>представит</w:t>
      </w:r>
      <w:r w:rsidRPr="00C74669">
        <w:rPr>
          <w:color w:val="000000"/>
          <w:sz w:val="24"/>
          <w:szCs w:val="24"/>
        </w:rPr>
        <w:t>еля по доверенности Самборск</w:t>
      </w:r>
      <w:r>
        <w:rPr>
          <w:color w:val="000000"/>
          <w:sz w:val="24"/>
          <w:szCs w:val="24"/>
        </w:rPr>
        <w:t>ая</w:t>
      </w:r>
      <w:r w:rsidRPr="00C74669">
        <w:rPr>
          <w:color w:val="000000"/>
          <w:sz w:val="24"/>
          <w:szCs w:val="24"/>
        </w:rPr>
        <w:t xml:space="preserve"> О.В.</w:t>
      </w:r>
      <w:r>
        <w:rPr>
          <w:color w:val="000000"/>
          <w:sz w:val="24"/>
          <w:szCs w:val="24"/>
        </w:rPr>
        <w:t xml:space="preserve"> в заедание суда апелляционной инстанции явились, доводы жалобы поддержали.</w:t>
      </w:r>
    </w:p>
    <w:p w14:paraId="4D96C641" w14:textId="77777777" w:rsidR="00CB6463" w:rsidRDefault="00FD545C" w:rsidP="00CB6463">
      <w:pPr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Представитель ПАО «Сбербанк России» по доверенности Лубканова Н.А. в заседание явилась, доводы жалобы не поддержала.</w:t>
      </w:r>
    </w:p>
    <w:p w14:paraId="2C40938A" w14:textId="77777777" w:rsidR="00CB6463" w:rsidRDefault="00FD545C" w:rsidP="00CB6463">
      <w:pPr>
        <w:ind w:firstLine="426"/>
        <w:jc w:val="both"/>
        <w:rPr>
          <w:sz w:val="24"/>
          <w:szCs w:val="24"/>
        </w:rPr>
      </w:pPr>
    </w:p>
    <w:p w14:paraId="4468EC80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Судебная коллегия, выслушав</w:t>
      </w:r>
      <w:r>
        <w:rPr>
          <w:sz w:val="24"/>
          <w:szCs w:val="24"/>
        </w:rPr>
        <w:t xml:space="preserve"> Пронь В.Д., а также его </w:t>
      </w:r>
      <w:r w:rsidRPr="00C74669">
        <w:rPr>
          <w:color w:val="000000"/>
          <w:sz w:val="24"/>
          <w:szCs w:val="24"/>
        </w:rPr>
        <w:t>представителя по доверенности Самборск</w:t>
      </w:r>
      <w:r>
        <w:rPr>
          <w:color w:val="000000"/>
          <w:sz w:val="24"/>
          <w:szCs w:val="24"/>
        </w:rPr>
        <w:t>ую</w:t>
      </w:r>
      <w:r w:rsidRPr="00C74669">
        <w:rPr>
          <w:color w:val="000000"/>
          <w:sz w:val="24"/>
          <w:szCs w:val="24"/>
        </w:rPr>
        <w:t xml:space="preserve"> О.В.</w:t>
      </w:r>
      <w:r>
        <w:rPr>
          <w:color w:val="000000"/>
          <w:sz w:val="24"/>
          <w:szCs w:val="24"/>
        </w:rPr>
        <w:t>, представителя ПАО «Сбербанк России» по доверенности Лубканову Н.А., проверив материалы деля изучив доводы жалобы находит, находит решение законным и обоснованным, а жалобу не подлежаще</w:t>
      </w:r>
      <w:r>
        <w:rPr>
          <w:color w:val="000000"/>
          <w:sz w:val="24"/>
          <w:szCs w:val="24"/>
        </w:rPr>
        <w:t xml:space="preserve">й удовлетворению по следующим основаниям.  </w:t>
      </w:r>
    </w:p>
    <w:p w14:paraId="0845BC66" w14:textId="77777777" w:rsidR="00CB6463" w:rsidRDefault="00FD545C" w:rsidP="00CB6463">
      <w:pPr>
        <w:ind w:firstLine="426"/>
        <w:jc w:val="both"/>
        <w:rPr>
          <w:sz w:val="24"/>
          <w:szCs w:val="24"/>
        </w:rPr>
      </w:pPr>
    </w:p>
    <w:p w14:paraId="76595CFC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В </w:t>
      </w:r>
      <w:r>
        <w:rPr>
          <w:sz w:val="24"/>
          <w:szCs w:val="24"/>
        </w:rPr>
        <w:t>соответствии с положениями</w:t>
      </w:r>
      <w:r w:rsidRPr="00C74669">
        <w:rPr>
          <w:sz w:val="24"/>
          <w:szCs w:val="24"/>
        </w:rPr>
        <w:t xml:space="preserve"> статьи 854 ГК РФ, списание денежных средств со счета осуществляется банком на основании распоряжения клиента. Без распоряжения клиента списание денежных средств, находящихся на счете</w:t>
      </w:r>
      <w:r w:rsidRPr="00C74669">
        <w:rPr>
          <w:sz w:val="24"/>
          <w:szCs w:val="24"/>
        </w:rPr>
        <w:t xml:space="preserve">, допускается по решению суда, а также в случаях, установленных законом или предусмотренных договором между банком и клиентом. </w:t>
      </w:r>
    </w:p>
    <w:p w14:paraId="5D5117C5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статьи 858 ГК РФ, ограничение прав клиента на распоряжение денежными средствами, находящимися на счете, не допускается.</w:t>
      </w:r>
      <w:r w:rsidRPr="00C74669">
        <w:rPr>
          <w:sz w:val="24"/>
          <w:szCs w:val="24"/>
        </w:rPr>
        <w:t xml:space="preserve"> </w:t>
      </w:r>
    </w:p>
    <w:p w14:paraId="0B09D3E2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части 3 статьи 847 ГК РФ, договором может быть предусмотрено удостоверение прав распоряжения денежными суммами, находящимися на счете, электронными средствами платежа и другими документами с использованием в них аналогов собственноручной подписи</w:t>
      </w:r>
      <w:r w:rsidRPr="00C74669">
        <w:rPr>
          <w:sz w:val="24"/>
          <w:szCs w:val="24"/>
        </w:rPr>
        <w:t xml:space="preserve"> (пункт 2 статьи 160), кодов, паролей и иных средств, подтверждающих, что распоряжение дано уполномоченным на это лицом. </w:t>
      </w:r>
    </w:p>
    <w:p w14:paraId="13124D7C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пункту 21 Постановления Пленума Верховного Суда РФ № 13, Пленума Высшего Арбитражного Суда РФ № 14 от 08 октября 1998 года «О</w:t>
      </w:r>
      <w:r w:rsidRPr="00C74669">
        <w:rPr>
          <w:sz w:val="24"/>
          <w:szCs w:val="24"/>
        </w:rPr>
        <w:t xml:space="preserve"> практике применения положений Гражданского кодекса РФ о процентах за пользование чужими денежными средствами, под необоснованным списанием банком денежных средств понимается списание, произведенное в сумме, большей, чем предусматривалось платежным докумен</w:t>
      </w:r>
      <w:r w:rsidRPr="00C74669">
        <w:rPr>
          <w:sz w:val="24"/>
          <w:szCs w:val="24"/>
        </w:rPr>
        <w:t xml:space="preserve">том, а также списание без соответствующего платежного документа либо с нарушением требований законодательства. </w:t>
      </w:r>
    </w:p>
    <w:p w14:paraId="4033535B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В соответствии с Постановлением Пленума Верховного Суда Российской Федерации от 29 сентября 1994 года № 7 «О практике рассмотрения судами дел о </w:t>
      </w:r>
      <w:r w:rsidRPr="00C74669">
        <w:rPr>
          <w:sz w:val="24"/>
          <w:szCs w:val="24"/>
        </w:rPr>
        <w:t>защите прав потребителей» отношения, регулируемые законодательством о защите прав потребителей, могут возникать из договоров на оказание финансовых услуг, направленных на удовлетворение личных, семейных, домашних и иных нужд потребителя - гражданина, не св</w:t>
      </w:r>
      <w:r w:rsidRPr="00C74669">
        <w:rPr>
          <w:sz w:val="24"/>
          <w:szCs w:val="24"/>
        </w:rPr>
        <w:t xml:space="preserve">язанных с осуществлением предпринимательской деятельности, в том числе предоставление кредитов, открытие и ведение счетов клиентов - граждан, осуществление расчетов по их поручению, услуги по приему от граждан и хранению ценных бумаг и других ценностей. </w:t>
      </w:r>
    </w:p>
    <w:p w14:paraId="0C11A49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У</w:t>
      </w:r>
      <w:r w:rsidRPr="00C74669">
        <w:rPr>
          <w:sz w:val="24"/>
          <w:szCs w:val="24"/>
        </w:rPr>
        <w:t>казанный закон регулирует отношения, возникающие между потребителями и изготовителями, исполнителями, импортерами, продавцами при продаже товаров (выполнении работ, оказании услуг), устанавливает права потребителей на приобретение товаров (работ, услуг) на</w:t>
      </w:r>
      <w:r w:rsidRPr="00C74669">
        <w:rPr>
          <w:sz w:val="24"/>
          <w:szCs w:val="24"/>
        </w:rPr>
        <w:t>длежащего качества и безопасных для жизни, здоровья, имущества потребителей. На основании ст.ст.4, 7 Закона РФ от 07 февраля 1992 года №2300-1 «О защите прав потребителей», исполнитель обязан оказать потребителю услугу, качество которой соответствует догов</w:t>
      </w:r>
      <w:r w:rsidRPr="00C74669">
        <w:rPr>
          <w:sz w:val="24"/>
          <w:szCs w:val="24"/>
        </w:rPr>
        <w:t xml:space="preserve">ору. При отсутствии в договоре условий о качестве услуги исполнитель обязан передать потребителю услуг, соответствующую обычно предъявляемым требованиям и пригодный для целей, для которых услуга такого рода обычно используется. </w:t>
      </w:r>
    </w:p>
    <w:p w14:paraId="1BE35F11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Потребитель имеет право на </w:t>
      </w:r>
      <w:r w:rsidRPr="00C74669">
        <w:rPr>
          <w:sz w:val="24"/>
          <w:szCs w:val="24"/>
        </w:rPr>
        <w:t>то, чтобы услуга при обычных условиях ее использования была безопасна для жизни, здоровья потребителя, окружающей среды, а также не причиняла вред имуществу потребителя. Требования, которые должны обеспечивать безопасность услуги для жизни и здоровья потре</w:t>
      </w:r>
      <w:r w:rsidRPr="00C74669">
        <w:rPr>
          <w:sz w:val="24"/>
          <w:szCs w:val="24"/>
        </w:rPr>
        <w:t xml:space="preserve">бителя, окружающей среды, а также предотвращение причинения вреда имуществу потребителя, являются </w:t>
      </w:r>
      <w:r w:rsidRPr="00C74669">
        <w:rPr>
          <w:sz w:val="24"/>
          <w:szCs w:val="24"/>
        </w:rPr>
        <w:lastRenderedPageBreak/>
        <w:t>обязательными и устанавливаются законом или в установленном им порядке. Как следует из ст. 10 Закона РФ «О защите прав потребителей», изготовитель (исполнител</w:t>
      </w:r>
      <w:r w:rsidRPr="00C74669">
        <w:rPr>
          <w:sz w:val="24"/>
          <w:szCs w:val="24"/>
        </w:rPr>
        <w:t>ь, продавец) обязан своевременно предоставлять потребителю необходимую и достоверную информацию о товарах (работах, услугах), обеспечивающую возможность их правильного выбора. По отдельным видам товаров (работ, услуг) перечень и способы доведения информаци</w:t>
      </w:r>
      <w:r w:rsidRPr="00C74669">
        <w:rPr>
          <w:sz w:val="24"/>
          <w:szCs w:val="24"/>
        </w:rPr>
        <w:t xml:space="preserve">и до потребителя устанавливаются Правительством Российской Федерации. </w:t>
      </w:r>
    </w:p>
    <w:p w14:paraId="7CC2C379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В силу пунктов 1 и 5 статьи 14 Закона РФ «О защите прав потребителей», вред, причиненный жизни, здоровью или имуществу потребителя вследствие недостатков услуги, подлежит возмещению в п</w:t>
      </w:r>
      <w:r w:rsidRPr="00C74669">
        <w:rPr>
          <w:sz w:val="24"/>
          <w:szCs w:val="24"/>
        </w:rPr>
        <w:t>олном объеме. Исполнитель освобождается от ответственности, если докажет, что вред причинен вследствие непреодолимой силы или нарушения потребителем установленных правил использования услуги. Аналогичные правила установлены ст.ст. 1095, 1098 Гражданского к</w:t>
      </w:r>
      <w:r w:rsidRPr="00C74669">
        <w:rPr>
          <w:sz w:val="24"/>
          <w:szCs w:val="24"/>
        </w:rPr>
        <w:t xml:space="preserve">одекса Российской Федерации. </w:t>
      </w:r>
    </w:p>
    <w:p w14:paraId="56D1F0EB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ч. 1 ст. 29 Закона РФ «О защите прав потребителей», потребитель при обнаружении недостатков выполненной работы (оказанной услуги) вправе по своему выбору потребовать, в том числе, безвозмездного устранения недостатков</w:t>
      </w:r>
      <w:r w:rsidRPr="00C74669">
        <w:rPr>
          <w:sz w:val="24"/>
          <w:szCs w:val="24"/>
        </w:rPr>
        <w:t xml:space="preserve"> выполненной работы (оказанной услуги); возмещения понесенных им расходов по устранению недостатков выполненной работы (оказанной услуги) своими силами или третьими лицами. Удовлетворение требований потребителя о безвозмездном устранении недостатков, об из</w:t>
      </w:r>
      <w:r w:rsidRPr="00C74669">
        <w:rPr>
          <w:sz w:val="24"/>
          <w:szCs w:val="24"/>
        </w:rPr>
        <w:t xml:space="preserve">готовлении другой вещи или о повторном выполнении работы (оказании услуги) не освобождает исполнителя от ответственности в форме неустойки за нарушение срока окончания выполнения работы (оказания услуги). </w:t>
      </w:r>
    </w:p>
    <w:p w14:paraId="4F1439DE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</w:p>
    <w:p w14:paraId="55FCD2F6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пункту 1.5 Условий банковского обслужива</w:t>
      </w:r>
      <w:r w:rsidRPr="00C74669">
        <w:rPr>
          <w:sz w:val="24"/>
          <w:szCs w:val="24"/>
        </w:rPr>
        <w:t>ния физических лиц ПАО Сбербанк (далее по тексту – Условия), Клиенту предоставляется возможность проведения банковских операций через следующие удаленные каналы обслуживания: система «Сбербанк Онлайн», услуга «Мобильный банк», Устройства самообслуживания Б</w:t>
      </w:r>
      <w:r w:rsidRPr="00C74669">
        <w:rPr>
          <w:sz w:val="24"/>
          <w:szCs w:val="24"/>
        </w:rPr>
        <w:t xml:space="preserve">анка, Контактный центр. </w:t>
      </w:r>
    </w:p>
    <w:p w14:paraId="5F3614FC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пункту 2.21 данных Условий, средства доступа – набор средств, выдаваемых\определяемых Банком для идентификации и аутентификации Клиента через удаленные каналы обслуживания. К средствам доступа: - к системе «Сбербанк Онлайн</w:t>
      </w:r>
      <w:r w:rsidRPr="00C74669">
        <w:rPr>
          <w:sz w:val="24"/>
          <w:szCs w:val="24"/>
        </w:rPr>
        <w:t xml:space="preserve">» относятся Идентификатор пользователя и\или логин, постоянный пароль: - к услуге «Мобильный банк» - номер мобильного телефона; - в устройствах самообслуживания – Карта и ПИН. </w:t>
      </w:r>
    </w:p>
    <w:p w14:paraId="38CFFDC9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пунктам 4.15 и 4.16 Условий при предоставлении названных услуг идентиф</w:t>
      </w:r>
      <w:r w:rsidRPr="00C74669">
        <w:rPr>
          <w:sz w:val="24"/>
          <w:szCs w:val="24"/>
        </w:rPr>
        <w:t>икация и аутентификация Клиента Банком осуществляется: - при проведении операций через систему «Сбербанк Онлайн» - на основании введенного Идентификатора Пользователя или логина, постоянного пароля (кода) и \или одноразовых паролей; - в «Мобильном банке» -</w:t>
      </w:r>
      <w:r w:rsidRPr="00C74669">
        <w:rPr>
          <w:sz w:val="24"/>
          <w:szCs w:val="24"/>
        </w:rPr>
        <w:t xml:space="preserve"> на основании номера мобильного телефона, содержащегося в сообщении, полученном «Мобильным банком»; - при проведении операций через устройства самообслуживания Банка на основании предъявленной Клиентом Карты, ввода правильного ПИНа или кодов, сформированны</w:t>
      </w:r>
      <w:r w:rsidRPr="00C74669">
        <w:rPr>
          <w:sz w:val="24"/>
          <w:szCs w:val="24"/>
        </w:rPr>
        <w:t xml:space="preserve">х на основании биометрических данных Держателя Карты, Клиент считается идентифицированным в случае соответствия информации, нанесенной на магнитную полосу Карты или микропроцессор Карты, информации, содержащейся в базе данных Банка. </w:t>
      </w:r>
    </w:p>
    <w:p w14:paraId="1E47D3A0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Как следует из пункта </w:t>
      </w:r>
      <w:r w:rsidRPr="00C74669">
        <w:rPr>
          <w:sz w:val="24"/>
          <w:szCs w:val="24"/>
        </w:rPr>
        <w:t>3.5 Приложения № 4 к Условиям банковского обслуживания физических лиц ОАО «Сбербанк России», предоставление держателю услуг «Сбербанк Онлайн» осуществляется в соответствии с договором, а также в соответствии с Руководством по использованию «Сбербанк Онлайн</w:t>
      </w:r>
      <w:r w:rsidRPr="00C74669">
        <w:rPr>
          <w:sz w:val="24"/>
          <w:szCs w:val="24"/>
        </w:rPr>
        <w:t xml:space="preserve">», размещаемым на веб-сайте Банка. </w:t>
      </w:r>
    </w:p>
    <w:p w14:paraId="448E5F2A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В силу пункта 2.5 Приложения № 4 к Условиям банковского обслуживания физических лиц, подключение держателя к услуге «Мобильный банк» осуществляется на основании волеизъявления клиента на подключение к услуге «Мобильный б</w:t>
      </w:r>
      <w:r w:rsidRPr="00C74669">
        <w:rPr>
          <w:sz w:val="24"/>
          <w:szCs w:val="24"/>
        </w:rPr>
        <w:t>анк» одним из следующих способов: в подразделении Банка на основании заявления на подключение к услуге «Мобильный банк» установленной банком формы, подписанного собственноручной подписью клиента или аналогом собственноручной подписи клиента; через устройст</w:t>
      </w:r>
      <w:r w:rsidRPr="00C74669">
        <w:rPr>
          <w:sz w:val="24"/>
          <w:szCs w:val="24"/>
        </w:rPr>
        <w:t>во самообслуживания Банка, подключение проводится с использованием карты и подтверждается вводом ПИНа; через систему «Сбербанк Онлайн» на номер телефона клиента зарегистрированный в банке и содержащийся в базе данных Банка, подключение к услуге подтверждае</w:t>
      </w:r>
      <w:r w:rsidRPr="00C74669">
        <w:rPr>
          <w:sz w:val="24"/>
          <w:szCs w:val="24"/>
        </w:rPr>
        <w:t xml:space="preserve">тся вводом одноразового пароля. </w:t>
      </w:r>
    </w:p>
    <w:p w14:paraId="24E5B762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В силу пункта 3.14 Приложения № 1 к Условиям банковского обслуживания физических лиц, документы оформляемые при совершении операций по Карте, могут быть подписаны личной подписью держателя либо составлены с использованием а</w:t>
      </w:r>
      <w:r w:rsidRPr="00C74669">
        <w:rPr>
          <w:sz w:val="24"/>
          <w:szCs w:val="24"/>
        </w:rPr>
        <w:t xml:space="preserve">налога собственноручной подписи держателя: ПИНа, кодов, сформированных на основании биометрических данных держателя карты, постоянного пароля\одноразового пароля. </w:t>
      </w:r>
    </w:p>
    <w:p w14:paraId="1BB8FE60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В силу пункта 3.7 Приложения № 4 к Условиям банковского обслуживания физических лиц, доступ </w:t>
      </w:r>
      <w:r w:rsidRPr="00C74669">
        <w:rPr>
          <w:sz w:val="24"/>
          <w:szCs w:val="24"/>
        </w:rPr>
        <w:t xml:space="preserve">клиента к услугам системы «Сбербанк Онлайн» осуществляется при условии его успешной идентификации и аутентификации на основании идентификатора пользователя и постоянного пароля, которые Клиент может получить </w:t>
      </w:r>
    </w:p>
    <w:p w14:paraId="23035F3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одним из следующих способов: через устройство с</w:t>
      </w:r>
      <w:r w:rsidRPr="00C74669">
        <w:rPr>
          <w:sz w:val="24"/>
          <w:szCs w:val="24"/>
        </w:rPr>
        <w:t xml:space="preserve">амообслуживания с использованием своей основной карты, операция получения идентификатора пользователя и постоянного пароля подтверждается ПИН-кодом; самостоятельно определить через удаленную регистрацию на сайте Банка на странице входа в «Сбербанк Онлайн» </w:t>
      </w:r>
      <w:r w:rsidRPr="00C74669">
        <w:rPr>
          <w:sz w:val="24"/>
          <w:szCs w:val="24"/>
        </w:rPr>
        <w:t xml:space="preserve">с использованием своей основной карты, операция создания идентификатора пользователя и постоянного пароля подтверждается одноразовым паролем, который направляется на номер телефона Клиента, подключенный к услуге «Мобильный банк». </w:t>
      </w:r>
    </w:p>
    <w:p w14:paraId="5367F574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пункту 3.16 Прил</w:t>
      </w:r>
      <w:r w:rsidRPr="00C74669">
        <w:rPr>
          <w:sz w:val="24"/>
          <w:szCs w:val="24"/>
        </w:rPr>
        <w:t>ожения № 1 к Условиям банковского обслуживания физических лиц, держатель карты обязуется не сообщать ПИН, постоянный пароль, одноразовые пароли и контрольную информацию, не передавать карту (ее реквизиты) для совершения операций другими лицами, предпринима</w:t>
      </w:r>
      <w:r w:rsidRPr="00C74669">
        <w:rPr>
          <w:sz w:val="24"/>
          <w:szCs w:val="24"/>
        </w:rPr>
        <w:t xml:space="preserve">ть необходимые меры для предотвращения утраты, повреждения, хищения карты; нести ответственность по операциям, совершенным с использованием ПИН-кода, кодов, сформированных на основании биометрических данных держателя карты, постоянного пароля, одноразовых </w:t>
      </w:r>
      <w:r w:rsidRPr="00C74669">
        <w:rPr>
          <w:sz w:val="24"/>
          <w:szCs w:val="24"/>
        </w:rPr>
        <w:t xml:space="preserve">паролей. </w:t>
      </w:r>
    </w:p>
    <w:p w14:paraId="56403962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Согласно пункту 3.9 Приложения № 4 к Условиям банковского обслуживания физических лиц, документальным подтверждением факта совершения клиентом операции является протокол проведения операций в автоматизированной системе Банка, подтверждающий корре</w:t>
      </w:r>
      <w:r w:rsidRPr="00C74669">
        <w:rPr>
          <w:sz w:val="24"/>
          <w:szCs w:val="24"/>
        </w:rPr>
        <w:t xml:space="preserve">ктную идентификацию и аутентификацию держателя и совершение операции в такой системе. </w:t>
      </w:r>
    </w:p>
    <w:p w14:paraId="78E6410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</w:p>
    <w:p w14:paraId="345AE232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материалов дела следует, что </w:t>
      </w:r>
      <w:r w:rsidRPr="00C74669">
        <w:rPr>
          <w:sz w:val="24"/>
          <w:szCs w:val="24"/>
        </w:rPr>
        <w:t>Пронь В</w:t>
      </w:r>
      <w:r>
        <w:rPr>
          <w:sz w:val="24"/>
          <w:szCs w:val="24"/>
        </w:rPr>
        <w:t>.</w:t>
      </w:r>
      <w:r w:rsidRPr="00C74669">
        <w:rPr>
          <w:sz w:val="24"/>
          <w:szCs w:val="24"/>
        </w:rPr>
        <w:t>Д</w:t>
      </w:r>
      <w:r>
        <w:rPr>
          <w:sz w:val="24"/>
          <w:szCs w:val="24"/>
        </w:rPr>
        <w:t>.</w:t>
      </w:r>
      <w:r w:rsidRPr="00C74669">
        <w:rPr>
          <w:sz w:val="24"/>
          <w:szCs w:val="24"/>
        </w:rPr>
        <w:t xml:space="preserve"> является владельцем банковского вклада №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 xml:space="preserve"> «Сохраняй», владельцем банковского вклада №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>«Сберегательный счет», держателем ба</w:t>
      </w:r>
      <w:r w:rsidRPr="00C74669">
        <w:rPr>
          <w:sz w:val="24"/>
          <w:szCs w:val="24"/>
        </w:rPr>
        <w:t xml:space="preserve">нковской карты Maestro №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счет №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 xml:space="preserve">. </w:t>
      </w:r>
    </w:p>
    <w:p w14:paraId="1DA47AD9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Из электронного журнала банкомата усматривается, что 17 февраля 2014 года через устройство самообслуживания №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, расположенное по адресу: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 xml:space="preserve">, с использованием банковской карты Пронь В.Д. №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и ПИН-кода к ней была подк</w:t>
      </w:r>
      <w:r w:rsidRPr="00C74669">
        <w:rPr>
          <w:sz w:val="24"/>
          <w:szCs w:val="24"/>
        </w:rPr>
        <w:t xml:space="preserve">лючена услуга «Мобильный банк» к телефонному номеру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 xml:space="preserve"> </w:t>
      </w:r>
    </w:p>
    <w:p w14:paraId="4A0992C6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25 сентября 2014 года на сайте Банка Пронь В.Д. была совершена удаленная регистрация в системе «Сбербанк Онлайн» с использованием указанной банковской карты и смс-пароля для регистрации, направленного</w:t>
      </w:r>
      <w:r w:rsidRPr="00C74669">
        <w:rPr>
          <w:sz w:val="24"/>
          <w:szCs w:val="24"/>
        </w:rPr>
        <w:t xml:space="preserve"> Пронь В.Д. на его номер телефона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. </w:t>
      </w:r>
    </w:p>
    <w:p w14:paraId="6C509BC1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Как усматривается из содержания электронных журналов и протоколов проведенных операций, в период с 05 ноября 2014 года по 18 августа 2015 года через систему «Сбербанк Онлайн» на основании электронных распоряжений клиен</w:t>
      </w:r>
      <w:r w:rsidRPr="00C74669">
        <w:rPr>
          <w:sz w:val="24"/>
          <w:szCs w:val="24"/>
        </w:rPr>
        <w:t xml:space="preserve">та, созданных и направленных после входа в Систему с использованием логина и постоянного пароля, пароля для входа в Систему, Пронь В.Д. были совершены следующие операции: </w:t>
      </w:r>
    </w:p>
    <w:p w14:paraId="6B74358B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-05 ноября 2014 года совершена операция по закрытию вклада на сумму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долларов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цен</w:t>
      </w:r>
      <w:r w:rsidRPr="00C74669">
        <w:rPr>
          <w:sz w:val="24"/>
          <w:szCs w:val="24"/>
        </w:rPr>
        <w:t xml:space="preserve">тов США; </w:t>
      </w:r>
    </w:p>
    <w:p w14:paraId="64370E34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-05 ноября 2014 года совершен перевод частному лицу денежных средств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2F28D2B5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-06 ноября 2014 года совершен перевод частному лицу денежных средств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C284039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-07 ноября 2014 года совершен перевод частному ли</w:t>
      </w:r>
      <w:r w:rsidRPr="00C74669">
        <w:rPr>
          <w:sz w:val="24"/>
          <w:szCs w:val="24"/>
        </w:rPr>
        <w:t xml:space="preserve">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3F3495B6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-08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5F603A2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-10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09A3347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-11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551FCA30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-12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3F9C65E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-15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6DFF5B2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-17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</w:t>
      </w:r>
      <w:r w:rsidRPr="00C74669">
        <w:rPr>
          <w:sz w:val="24"/>
          <w:szCs w:val="24"/>
        </w:rPr>
        <w:t xml:space="preserve">копеек; </w:t>
      </w:r>
    </w:p>
    <w:p w14:paraId="78583B55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-18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6BE92230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-21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69D18472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-22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..</w:t>
      </w:r>
      <w:r w:rsidRPr="00C74669">
        <w:rPr>
          <w:sz w:val="24"/>
          <w:szCs w:val="24"/>
        </w:rPr>
        <w:t xml:space="preserve"> копеек; </w:t>
      </w:r>
    </w:p>
    <w:p w14:paraId="25D2F0BE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</w:t>
      </w:r>
      <w:r w:rsidRPr="00C74669">
        <w:rPr>
          <w:sz w:val="24"/>
          <w:szCs w:val="24"/>
        </w:rPr>
        <w:t xml:space="preserve">25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286A6F02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-27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16316C3B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-29 ноября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0111D85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-02 декабря 2</w:t>
      </w:r>
      <w:r w:rsidRPr="00C74669">
        <w:rPr>
          <w:sz w:val="24"/>
          <w:szCs w:val="24"/>
        </w:rPr>
        <w:t xml:space="preserve">014 года совершена оплата мобильной связи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24A66C2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-05 декабря 2014 года совершена оплата мобильной связи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1F911F58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-05 декабря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1D6C30E6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-05 декабря 2014 </w:t>
      </w:r>
      <w:r w:rsidRPr="00C74669">
        <w:rPr>
          <w:sz w:val="24"/>
          <w:szCs w:val="24"/>
        </w:rPr>
        <w:t xml:space="preserve">года совершена оплата мобильной связи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5A9CB30B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-06 декабря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88D9A21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-08 декабря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7B5EC026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-10 декабря 2014 года </w:t>
      </w:r>
      <w:r w:rsidRPr="00C74669">
        <w:rPr>
          <w:sz w:val="24"/>
          <w:szCs w:val="24"/>
        </w:rPr>
        <w:t xml:space="preserve">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7CFE5BAD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-12 декабря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50FEF0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-14 декабря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0F5126FA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-17 декабря 2014 года совершен</w:t>
      </w:r>
      <w:r w:rsidRPr="00C74669">
        <w:rPr>
          <w:sz w:val="24"/>
          <w:szCs w:val="24"/>
        </w:rPr>
        <w:t xml:space="preserve">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3750F2FA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-19 декабря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37863677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-21 декабря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32E43E4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-24 декабря 2014 года совершен перево</w:t>
      </w:r>
      <w:r w:rsidRPr="00C74669">
        <w:rPr>
          <w:sz w:val="24"/>
          <w:szCs w:val="24"/>
        </w:rPr>
        <w:t xml:space="preserve">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793736A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-31 декабря 2014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5639DD8C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-09 января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04F5150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-10 января 2015 года совершен перевод частном</w:t>
      </w:r>
      <w:r w:rsidRPr="00C74669">
        <w:rPr>
          <w:sz w:val="24"/>
          <w:szCs w:val="24"/>
        </w:rPr>
        <w:t xml:space="preserve">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933BCB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-16 января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60DB0A19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-18 января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E1F509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-20 января 2015 года совершен перевод частному лицу в р</w:t>
      </w:r>
      <w:r w:rsidRPr="00C74669">
        <w:rPr>
          <w:sz w:val="24"/>
          <w:szCs w:val="24"/>
        </w:rPr>
        <w:t xml:space="preserve">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2262FC08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-25 января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A6B9692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-27 января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1C7C4CD0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-28 января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</w:t>
      </w:r>
      <w:r w:rsidRPr="00C74669">
        <w:rPr>
          <w:sz w:val="24"/>
          <w:szCs w:val="24"/>
        </w:rPr>
        <w:t xml:space="preserve">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679B7F02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-29 января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53645973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-01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BC875EE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-03 февраля 2015 года совершена оплата мобильной связи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64610D8A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-03 февраля 2015 года совершена оплата мобильной связи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7A515E6A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-03 февраля 2015 года совершена оплата мобильной связи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1EA00F4E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-03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</w:t>
      </w:r>
      <w:r w:rsidRPr="00C74669">
        <w:rPr>
          <w:sz w:val="24"/>
          <w:szCs w:val="24"/>
        </w:rPr>
        <w:t xml:space="preserve">ек; </w:t>
      </w:r>
    </w:p>
    <w:p w14:paraId="7D77F47B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-05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7DEB0805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-07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3C9F930A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-09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50D8BDC6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-1</w:t>
      </w:r>
      <w:r w:rsidRPr="00C74669">
        <w:rPr>
          <w:sz w:val="24"/>
          <w:szCs w:val="24"/>
        </w:rPr>
        <w:t xml:space="preserve">2 февраля 2015 года совершен перевод частному лицу в размере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25F53849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-15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B7D1CD0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-17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19C73EAB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-19 февр</w:t>
      </w:r>
      <w:r w:rsidRPr="00C74669">
        <w:rPr>
          <w:sz w:val="24"/>
          <w:szCs w:val="24"/>
        </w:rPr>
        <w:t xml:space="preserve">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0BBBD734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-22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403B9865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-23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49521E80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-25 февраля 2015</w:t>
      </w:r>
      <w:r w:rsidRPr="00C74669">
        <w:rPr>
          <w:sz w:val="24"/>
          <w:szCs w:val="24"/>
        </w:rPr>
        <w:t xml:space="preserve">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6E68FD19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-27 февраля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копеек; </w:t>
      </w:r>
    </w:p>
    <w:p w14:paraId="4CC297CD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-01 марта 2015 года совершен перевод частному лицу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копеек; </w:t>
      </w:r>
    </w:p>
    <w:p w14:paraId="604666B7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-02 марта 2015 года соверше</w:t>
      </w:r>
      <w:r w:rsidRPr="00C74669">
        <w:rPr>
          <w:sz w:val="24"/>
          <w:szCs w:val="24"/>
        </w:rPr>
        <w:t xml:space="preserve">н перевод между своими счетами в размере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 рублей </w:t>
      </w:r>
      <w:r>
        <w:rPr>
          <w:sz w:val="24"/>
          <w:szCs w:val="24"/>
        </w:rPr>
        <w:t>…</w:t>
      </w:r>
      <w:r w:rsidRPr="00C74669">
        <w:rPr>
          <w:sz w:val="24"/>
          <w:szCs w:val="24"/>
        </w:rPr>
        <w:t xml:space="preserve">копеек. </w:t>
      </w:r>
    </w:p>
    <w:p w14:paraId="07DF731E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</w:p>
    <w:p w14:paraId="22500A4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Разрешая исковые требования по существу, суд правомерно применил к спорным правоотношениям указанные выше положения норм права и пришел к обоснованным выводам, что </w:t>
      </w:r>
      <w:r w:rsidRPr="00C74669">
        <w:rPr>
          <w:sz w:val="24"/>
          <w:szCs w:val="24"/>
        </w:rPr>
        <w:t>ответчик</w:t>
      </w:r>
      <w:r>
        <w:rPr>
          <w:sz w:val="24"/>
          <w:szCs w:val="24"/>
        </w:rPr>
        <w:t>ом</w:t>
      </w:r>
      <w:r w:rsidRPr="00C74669">
        <w:rPr>
          <w:sz w:val="24"/>
          <w:szCs w:val="24"/>
        </w:rPr>
        <w:t xml:space="preserve"> законные права и и</w:t>
      </w:r>
      <w:r w:rsidRPr="00C74669">
        <w:rPr>
          <w:sz w:val="24"/>
          <w:szCs w:val="24"/>
        </w:rPr>
        <w:t xml:space="preserve">нтересы истца, как потребителя, </w:t>
      </w:r>
      <w:r>
        <w:rPr>
          <w:sz w:val="24"/>
          <w:szCs w:val="24"/>
        </w:rPr>
        <w:t xml:space="preserve"> нарушены не были, </w:t>
      </w:r>
      <w:r w:rsidRPr="00C74669">
        <w:rPr>
          <w:sz w:val="24"/>
          <w:szCs w:val="24"/>
        </w:rPr>
        <w:t>поскольку, совершенные истцом операции осуществлялись на основании реквизитов банковской карты, пароля для регистрации в системе «Сбербанк Онлайн» направленный на номер телефона Пронь В.Д., логин, постоянн</w:t>
      </w:r>
      <w:r w:rsidRPr="00C74669">
        <w:rPr>
          <w:sz w:val="24"/>
          <w:szCs w:val="24"/>
        </w:rPr>
        <w:t>ый пароль для дальнейшей работы в системе «Сбербанк Онлайн», смс-пароли для совершения расходных операций, являющиеся аналогом собственноручной подписи клиентом бумажных документов\договоров с Банком, в силу Условий банковского обслуживания физических лиц,</w:t>
      </w:r>
      <w:r w:rsidRPr="00C74669">
        <w:rPr>
          <w:sz w:val="24"/>
          <w:szCs w:val="24"/>
        </w:rPr>
        <w:t xml:space="preserve"> Условий использования банковских карт, Руководства пользователя «Сбербанк Онлайн». </w:t>
      </w:r>
    </w:p>
    <w:p w14:paraId="73A84C51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>Поскольку при списании денежных средств использовались персональные средства доступа к удаленному каналу обслуживания «Сбербанк Онлайн» с поступлением соответствующих расп</w:t>
      </w:r>
      <w:r w:rsidRPr="00C74669">
        <w:rPr>
          <w:sz w:val="24"/>
          <w:szCs w:val="24"/>
        </w:rPr>
        <w:t xml:space="preserve">оряжений клиента, у ПАО «Сбербанк России» отсутствовали основания для отказа в проведении совершенных операций. </w:t>
      </w:r>
    </w:p>
    <w:p w14:paraId="1A84B48B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С учетом изложенного суд полагал, что </w:t>
      </w:r>
      <w:r w:rsidRPr="00C74669">
        <w:rPr>
          <w:sz w:val="24"/>
          <w:szCs w:val="24"/>
        </w:rPr>
        <w:t>вин</w:t>
      </w:r>
      <w:r>
        <w:rPr>
          <w:sz w:val="24"/>
          <w:szCs w:val="24"/>
        </w:rPr>
        <w:t>а</w:t>
      </w:r>
      <w:r w:rsidRPr="00C74669">
        <w:rPr>
          <w:sz w:val="24"/>
          <w:szCs w:val="24"/>
        </w:rPr>
        <w:t xml:space="preserve"> ПАО «Сбербанк России» в незаконном списании денежных средств истца</w:t>
      </w:r>
      <w:r>
        <w:rPr>
          <w:sz w:val="24"/>
          <w:szCs w:val="24"/>
        </w:rPr>
        <w:t xml:space="preserve"> отсутствует, </w:t>
      </w:r>
      <w:r w:rsidRPr="00C74669">
        <w:rPr>
          <w:sz w:val="24"/>
          <w:szCs w:val="24"/>
        </w:rPr>
        <w:t>напротив, списание д</w:t>
      </w:r>
      <w:r w:rsidRPr="00C74669">
        <w:rPr>
          <w:sz w:val="24"/>
          <w:szCs w:val="24"/>
        </w:rPr>
        <w:t xml:space="preserve">енежных средств были инициировано Пронь В.Д., о чем говорит совершение соответствующих операций с использованием персональных средств доступа. </w:t>
      </w:r>
    </w:p>
    <w:p w14:paraId="700EE85F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</w:p>
    <w:p w14:paraId="06F58757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Помимо того, судом в ходе рассмотрения дела не было установлено </w:t>
      </w:r>
      <w:r w:rsidRPr="00C74669">
        <w:rPr>
          <w:sz w:val="24"/>
          <w:szCs w:val="24"/>
        </w:rPr>
        <w:t xml:space="preserve">нарушений </w:t>
      </w:r>
      <w:r>
        <w:rPr>
          <w:sz w:val="24"/>
          <w:szCs w:val="24"/>
        </w:rPr>
        <w:t xml:space="preserve">ответчиком </w:t>
      </w:r>
      <w:r w:rsidRPr="00C74669">
        <w:rPr>
          <w:sz w:val="24"/>
          <w:szCs w:val="24"/>
        </w:rPr>
        <w:t>прав истца, как потребител</w:t>
      </w:r>
      <w:r w:rsidRPr="00C74669">
        <w:rPr>
          <w:sz w:val="24"/>
          <w:szCs w:val="24"/>
        </w:rPr>
        <w:t>я, связанных с предоставлением ему услуги ненадлежащего качества - в связи с не обеспечением Банком технической защищенности счета истца, поскольку совершенные по счету операции не вызывали сомнений ввиду использования персональных средств доступа, то осно</w:t>
      </w:r>
      <w:r w:rsidRPr="00C74669">
        <w:rPr>
          <w:sz w:val="24"/>
          <w:szCs w:val="24"/>
        </w:rPr>
        <w:t>ваний для не исполнения данных клиентом распоряжений у Банка не имелось. Условия использования банковских карт и Памятка безопасности, с которыми истец был ознакомлен, содержат исчерпывающую информацию о возможных рисках клиента, а также подробный перечень</w:t>
      </w:r>
      <w:r w:rsidRPr="00C74669">
        <w:rPr>
          <w:sz w:val="24"/>
          <w:szCs w:val="24"/>
        </w:rPr>
        <w:t xml:space="preserve"> мер безопасности при работе в удаленных каналах обслуживания, которые должен соблюдать клиент для избежания неблагоприятных последствий.</w:t>
      </w:r>
    </w:p>
    <w:p w14:paraId="1455CDC7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 w:rsidRPr="00C74669">
        <w:rPr>
          <w:sz w:val="24"/>
          <w:szCs w:val="24"/>
        </w:rPr>
        <w:t xml:space="preserve"> </w:t>
      </w:r>
    </w:p>
    <w:p w14:paraId="3AC41579" w14:textId="77777777" w:rsidR="00CB6463" w:rsidRDefault="00FD545C" w:rsidP="00CB6463">
      <w:pPr>
        <w:ind w:firstLine="426"/>
        <w:jc w:val="both"/>
        <w:rPr>
          <w:sz w:val="24"/>
          <w:szCs w:val="24"/>
        </w:rPr>
      </w:pPr>
      <w:r>
        <w:rPr>
          <w:sz w:val="24"/>
          <w:szCs w:val="24"/>
        </w:rPr>
        <w:t>В связи с изложенным в удовлетворении заявленных требований судом в полном объеме было отказано.</w:t>
      </w:r>
    </w:p>
    <w:p w14:paraId="0F78960E" w14:textId="77777777" w:rsidR="00CB6463" w:rsidRDefault="00FD545C" w:rsidP="00CB6463">
      <w:pPr>
        <w:ind w:firstLine="426"/>
        <w:jc w:val="both"/>
        <w:rPr>
          <w:sz w:val="24"/>
          <w:szCs w:val="24"/>
        </w:rPr>
      </w:pPr>
    </w:p>
    <w:p w14:paraId="20215B6C" w14:textId="77777777" w:rsidR="00CB6463" w:rsidRDefault="00FD545C" w:rsidP="00CB6463">
      <w:pPr>
        <w:pStyle w:val="a3"/>
        <w:tabs>
          <w:tab w:val="left" w:pos="9180"/>
        </w:tabs>
        <w:spacing w:after="0"/>
        <w:jc w:val="both"/>
        <w:rPr>
          <w:color w:val="000000"/>
        </w:rPr>
      </w:pPr>
      <w:r>
        <w:rPr>
          <w:color w:val="000000"/>
        </w:rPr>
        <w:t xml:space="preserve">         </w:t>
      </w:r>
      <w:r w:rsidRPr="009B5611">
        <w:rPr>
          <w:color w:val="000000"/>
        </w:rPr>
        <w:t xml:space="preserve">Судебная </w:t>
      </w:r>
      <w:r w:rsidRPr="009B5611">
        <w:rPr>
          <w:color w:val="000000"/>
        </w:rPr>
        <w:t>коллегия в полной мере соглашается с выводами суда первой инстанции. Данные выводы основаны судом на материалах дела, к ним он пришел в результате обоснованного анализа письменных доказательств</w:t>
      </w:r>
      <w:r w:rsidRPr="009B5611">
        <w:rPr>
          <w:bCs/>
          <w:color w:val="000000"/>
        </w:rPr>
        <w:t xml:space="preserve">, </w:t>
      </w:r>
      <w:r w:rsidRPr="009B5611">
        <w:rPr>
          <w:color w:val="000000"/>
        </w:rPr>
        <w:t>которым  суд дал надлежащую оценку в соответствии с положения</w:t>
      </w:r>
      <w:r w:rsidRPr="009B5611">
        <w:rPr>
          <w:color w:val="000000"/>
        </w:rPr>
        <w:t>ми ст. 67 ГПК РФ.</w:t>
      </w:r>
    </w:p>
    <w:p w14:paraId="3ABD0AE3" w14:textId="77777777" w:rsidR="00CB6463" w:rsidRDefault="00FD545C" w:rsidP="00CB6463">
      <w:pPr>
        <w:pStyle w:val="a3"/>
        <w:tabs>
          <w:tab w:val="left" w:pos="9180"/>
        </w:tabs>
        <w:spacing w:after="0"/>
        <w:jc w:val="both"/>
        <w:rPr>
          <w:color w:val="000000"/>
        </w:rPr>
      </w:pPr>
    </w:p>
    <w:p w14:paraId="01577957" w14:textId="77777777" w:rsidR="00CB6463" w:rsidRDefault="00FD545C" w:rsidP="00CB6463">
      <w:pPr>
        <w:ind w:firstLine="426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</w:t>
      </w:r>
      <w:r w:rsidRPr="007F2AF1">
        <w:rPr>
          <w:color w:val="000000"/>
          <w:sz w:val="24"/>
          <w:szCs w:val="24"/>
        </w:rPr>
        <w:t xml:space="preserve">Доводы жалобы о том, что без распоряжения истца ответчиком были неправомерно списаны денежные средства в сумме </w:t>
      </w:r>
      <w:r>
        <w:rPr>
          <w:color w:val="000000"/>
          <w:sz w:val="24"/>
          <w:szCs w:val="24"/>
        </w:rPr>
        <w:t>….</w:t>
      </w:r>
      <w:r w:rsidRPr="007F2AF1">
        <w:rPr>
          <w:color w:val="000000"/>
          <w:sz w:val="24"/>
          <w:szCs w:val="24"/>
        </w:rPr>
        <w:t xml:space="preserve"> долларов США, поскольку Пронь В.Д. в спорный период находился за пределами РФ и воспользоваться системой «Сбербанк Онл</w:t>
      </w:r>
      <w:r w:rsidRPr="007F2AF1">
        <w:rPr>
          <w:color w:val="000000"/>
          <w:sz w:val="24"/>
          <w:szCs w:val="24"/>
        </w:rPr>
        <w:t>айн» он не мог</w:t>
      </w:r>
      <w:r>
        <w:rPr>
          <w:color w:val="000000"/>
          <w:sz w:val="24"/>
          <w:szCs w:val="24"/>
        </w:rPr>
        <w:t>, коллегия находит несостоятельными, поскольку доказательств принятия всех необходимых мер безопасности со стороны Пронь В.Д. по обеспечению неполучения третьими лицами доступа к банковской карте и соответствующим паролям, логинам по управлен</w:t>
      </w:r>
      <w:r>
        <w:rPr>
          <w:color w:val="000000"/>
          <w:sz w:val="24"/>
          <w:szCs w:val="24"/>
        </w:rPr>
        <w:t>ию своими средствами на расстоянии истцом суду представлено не было</w:t>
      </w:r>
      <w:r w:rsidRPr="007F2AF1">
        <w:rPr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Сам факт нахождения истца за пределами Российской Федерации не свидетельствует о возможности распоряжения банковской картой третьими лицами на территории РФ при условии их доступа к секре</w:t>
      </w:r>
      <w:r>
        <w:rPr>
          <w:color w:val="000000"/>
          <w:sz w:val="24"/>
          <w:szCs w:val="24"/>
        </w:rPr>
        <w:t>тной информации о паролях и логинах по управлению счетом Пронь В.Д.</w:t>
      </w:r>
    </w:p>
    <w:p w14:paraId="13D6AE0A" w14:textId="77777777" w:rsidR="00CB6463" w:rsidRDefault="00FD545C" w:rsidP="00CB6463">
      <w:pPr>
        <w:ind w:firstLine="426"/>
        <w:jc w:val="both"/>
        <w:rPr>
          <w:color w:val="000000"/>
          <w:sz w:val="24"/>
          <w:szCs w:val="24"/>
        </w:rPr>
      </w:pPr>
    </w:p>
    <w:p w14:paraId="2DDF6849" w14:textId="77777777" w:rsidR="00CB6463" w:rsidRPr="00C74669" w:rsidRDefault="00FD545C" w:rsidP="00CB6463">
      <w:pPr>
        <w:ind w:firstLine="426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Доводы жалобы о том, что согласно справки из ПАО «Сбербанк» (….) услуга Сбербанк онлайн подключена уже после производства спорных операций 11.04.2015г., также не может служить основанием </w:t>
      </w:r>
      <w:r>
        <w:rPr>
          <w:color w:val="000000"/>
          <w:sz w:val="24"/>
          <w:szCs w:val="24"/>
        </w:rPr>
        <w:t>к отмене решения, поскольку из ответа ПАО Сбербанк не ясно по какому именно счету Пронь В.Д. подключена эта услуга, и, помимо того,  фактические обстоятельства свидетельствуют о том, что указанный ответ не касается спорного банковского счета Пронь В.Д.</w:t>
      </w:r>
      <w:r w:rsidRPr="00A3137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 </w:t>
      </w:r>
      <w:r w:rsidRPr="00C74669">
        <w:rPr>
          <w:sz w:val="24"/>
          <w:szCs w:val="24"/>
        </w:rPr>
        <w:t>банковской карт</w:t>
      </w:r>
      <w:r>
        <w:rPr>
          <w:sz w:val="24"/>
          <w:szCs w:val="24"/>
        </w:rPr>
        <w:t>е</w:t>
      </w:r>
      <w:r w:rsidRPr="00C74669">
        <w:rPr>
          <w:sz w:val="24"/>
          <w:szCs w:val="24"/>
        </w:rPr>
        <w:t xml:space="preserve"> Maestro №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 xml:space="preserve"> счет №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>.</w:t>
      </w:r>
      <w:r>
        <w:rPr>
          <w:sz w:val="24"/>
          <w:szCs w:val="24"/>
        </w:rPr>
        <w:t xml:space="preserve">, в связи с тем </w:t>
      </w:r>
      <w:r w:rsidRPr="00C74669">
        <w:rPr>
          <w:sz w:val="24"/>
          <w:szCs w:val="24"/>
        </w:rPr>
        <w:t xml:space="preserve"> </w:t>
      </w:r>
      <w:r>
        <w:rPr>
          <w:sz w:val="24"/>
          <w:szCs w:val="24"/>
        </w:rPr>
        <w:t>и</w:t>
      </w:r>
      <w:r w:rsidRPr="00C74669">
        <w:rPr>
          <w:sz w:val="24"/>
          <w:szCs w:val="24"/>
        </w:rPr>
        <w:t xml:space="preserve">з </w:t>
      </w:r>
      <w:r>
        <w:rPr>
          <w:sz w:val="24"/>
          <w:szCs w:val="24"/>
        </w:rPr>
        <w:t xml:space="preserve">содержания </w:t>
      </w:r>
      <w:r w:rsidRPr="00C74669">
        <w:rPr>
          <w:sz w:val="24"/>
          <w:szCs w:val="24"/>
        </w:rPr>
        <w:t>электронного журнала банкомата усматривается, что 17 февраля 2014 года через устройство самообслуживания № 577640, расположенное по адресу: г. Москва, ул. Барклая, д. 1, с использование</w:t>
      </w:r>
      <w:r w:rsidRPr="00C74669">
        <w:rPr>
          <w:sz w:val="24"/>
          <w:szCs w:val="24"/>
        </w:rPr>
        <w:t xml:space="preserve">м банковской карты Пронь В.Д. № </w:t>
      </w:r>
      <w:r>
        <w:rPr>
          <w:sz w:val="24"/>
          <w:szCs w:val="24"/>
        </w:rPr>
        <w:t>….</w:t>
      </w:r>
      <w:r w:rsidRPr="00C74669">
        <w:rPr>
          <w:sz w:val="24"/>
          <w:szCs w:val="24"/>
        </w:rPr>
        <w:t xml:space="preserve"> и ПИН-кода к ней была подключена услуга «Мобильный банк» к телефонному номеру </w:t>
      </w:r>
      <w:r>
        <w:rPr>
          <w:sz w:val="24"/>
          <w:szCs w:val="24"/>
        </w:rPr>
        <w:t>…., после чего в период с 05.11.2014г. по 02.03.2015г. и были совершены спорные операции, что само по себе опровергает возможность более поздне</w:t>
      </w:r>
      <w:r>
        <w:rPr>
          <w:sz w:val="24"/>
          <w:szCs w:val="24"/>
        </w:rPr>
        <w:t>го подключения услуги Сбербанк онлайн 11.04.2015г. как указано в справке</w:t>
      </w:r>
      <w:r w:rsidRPr="00C74669">
        <w:rPr>
          <w:sz w:val="24"/>
          <w:szCs w:val="24"/>
        </w:rPr>
        <w:t>.</w:t>
      </w:r>
      <w:r>
        <w:rPr>
          <w:sz w:val="24"/>
          <w:szCs w:val="24"/>
        </w:rPr>
        <w:t xml:space="preserve"> Иными словами данная справка к спорному банковскому счету и карте отношения не имеет и, очевидно, выдана ответчиком по иным счетам Пронь В.Д., расположенным в банке ответчика.</w:t>
      </w:r>
      <w:r w:rsidRPr="00C74669">
        <w:rPr>
          <w:sz w:val="24"/>
          <w:szCs w:val="24"/>
        </w:rPr>
        <w:t xml:space="preserve"> </w:t>
      </w:r>
    </w:p>
    <w:p w14:paraId="6EB095C4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076E6F37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Руко</w:t>
      </w:r>
      <w:r w:rsidRPr="00C74669">
        <w:rPr>
          <w:color w:val="000000"/>
          <w:sz w:val="24"/>
          <w:szCs w:val="24"/>
        </w:rPr>
        <w:t xml:space="preserve">водствуясь ст. ст. 328, 329 ГПК РФ, судебная коллегия </w:t>
      </w:r>
    </w:p>
    <w:p w14:paraId="32AD352C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39DDA88F" w14:textId="77777777" w:rsidR="00CB6463" w:rsidRPr="00C74669" w:rsidRDefault="00FD545C" w:rsidP="00CB6463">
      <w:pPr>
        <w:ind w:firstLine="851"/>
        <w:jc w:val="center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>О П Р Е Д Е Л И Л А:</w:t>
      </w:r>
    </w:p>
    <w:p w14:paraId="07984C0C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78AA1085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 xml:space="preserve">Решение </w:t>
      </w:r>
      <w:r>
        <w:rPr>
          <w:color w:val="000000"/>
          <w:sz w:val="24"/>
          <w:szCs w:val="24"/>
        </w:rPr>
        <w:t xml:space="preserve">Дорогомиловского </w:t>
      </w:r>
      <w:r w:rsidRPr="00C74669">
        <w:rPr>
          <w:color w:val="000000"/>
          <w:sz w:val="24"/>
          <w:szCs w:val="24"/>
        </w:rPr>
        <w:t xml:space="preserve">районного суда г. Москвы от </w:t>
      </w:r>
      <w:r>
        <w:rPr>
          <w:color w:val="000000"/>
          <w:sz w:val="24"/>
          <w:szCs w:val="24"/>
        </w:rPr>
        <w:t xml:space="preserve">01 февраля </w:t>
      </w:r>
      <w:r w:rsidRPr="00C74669">
        <w:rPr>
          <w:color w:val="000000"/>
          <w:sz w:val="24"/>
          <w:szCs w:val="24"/>
        </w:rPr>
        <w:t>201</w:t>
      </w:r>
      <w:r>
        <w:rPr>
          <w:color w:val="000000"/>
          <w:sz w:val="24"/>
          <w:szCs w:val="24"/>
        </w:rPr>
        <w:t>7</w:t>
      </w:r>
      <w:r w:rsidRPr="00C74669">
        <w:rPr>
          <w:color w:val="000000"/>
          <w:sz w:val="24"/>
          <w:szCs w:val="24"/>
        </w:rPr>
        <w:t xml:space="preserve"> года оставить без изменения, апелляционную жалобу представителя Пронь В.Д. по доверенности Самборской О.В., б</w:t>
      </w:r>
      <w:r w:rsidRPr="00C74669">
        <w:rPr>
          <w:color w:val="000000"/>
          <w:sz w:val="24"/>
          <w:szCs w:val="24"/>
        </w:rPr>
        <w:t>ез удовлетворения.</w:t>
      </w:r>
    </w:p>
    <w:p w14:paraId="2F48A5F2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1112F07C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 xml:space="preserve">Председательствующий: </w:t>
      </w:r>
    </w:p>
    <w:p w14:paraId="1EA08809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0F8F8396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  <w:r w:rsidRPr="00C74669">
        <w:rPr>
          <w:color w:val="000000"/>
          <w:sz w:val="24"/>
          <w:szCs w:val="24"/>
        </w:rPr>
        <w:t xml:space="preserve">Судьи: </w:t>
      </w:r>
    </w:p>
    <w:p w14:paraId="0FB7BB75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169F2031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71A2C37A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0C320AB2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76D10D60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4CFB1D5A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58A1DABD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p w14:paraId="545164B8" w14:textId="77777777" w:rsidR="00CB6463" w:rsidRPr="00C74669" w:rsidRDefault="00FD545C" w:rsidP="00CB6463">
      <w:pPr>
        <w:ind w:firstLine="851"/>
        <w:jc w:val="both"/>
        <w:rPr>
          <w:color w:val="000000"/>
          <w:sz w:val="24"/>
          <w:szCs w:val="24"/>
        </w:rPr>
      </w:pPr>
    </w:p>
    <w:sectPr w:rsidR="00CB6463" w:rsidRPr="00C74669" w:rsidSect="00CB6463">
      <w:pgSz w:w="11906" w:h="16838"/>
      <w:pgMar w:top="107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7D0FAE"/>
    <w:multiLevelType w:val="hybridMultilevel"/>
    <w:tmpl w:val="EB803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06D05"/>
    <w:rsid w:val="00FD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4:docId w14:val="5ED0944C"/>
  <w15:chartTrackingRefBased/>
  <w15:docId w15:val="{12152A75-6E10-40C3-BAB6-71164111F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D72D3E"/>
    <w:pPr>
      <w:overflowPunct w:val="0"/>
      <w:autoSpaceDE w:val="0"/>
      <w:autoSpaceDN w:val="0"/>
      <w:adjustRightInd w:val="0"/>
    </w:pPr>
    <w:rPr>
      <w:lang w:val="ru-RU" w:eastAsia="ru-RU"/>
    </w:rPr>
  </w:style>
  <w:style w:type="paragraph" w:styleId="1">
    <w:name w:val="heading 1"/>
    <w:basedOn w:val="a"/>
    <w:next w:val="a"/>
    <w:link w:val="10"/>
    <w:qFormat/>
    <w:rsid w:val="004A0378"/>
    <w:pPr>
      <w:keepNext/>
      <w:overflowPunct/>
      <w:autoSpaceDE/>
      <w:autoSpaceDN/>
      <w:adjustRightInd/>
      <w:ind w:firstLine="851"/>
      <w:jc w:val="both"/>
      <w:outlineLvl w:val="0"/>
    </w:pPr>
    <w:rPr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link w:val="a4"/>
    <w:rsid w:val="003B0902"/>
    <w:pPr>
      <w:overflowPunct/>
      <w:autoSpaceDE/>
      <w:autoSpaceDN/>
      <w:adjustRightInd/>
      <w:spacing w:after="120"/>
    </w:pPr>
    <w:rPr>
      <w:sz w:val="24"/>
      <w:szCs w:val="24"/>
    </w:rPr>
  </w:style>
  <w:style w:type="character" w:customStyle="1" w:styleId="a4">
    <w:name w:val="Основной текст Знак"/>
    <w:link w:val="a3"/>
    <w:rsid w:val="003B0902"/>
    <w:rPr>
      <w:sz w:val="24"/>
      <w:szCs w:val="24"/>
      <w:lang w:val="ru-RU" w:eastAsia="ru-RU" w:bidi="ar-SA"/>
    </w:rPr>
  </w:style>
  <w:style w:type="paragraph" w:styleId="a5">
    <w:name w:val="Normal (Web)"/>
    <w:basedOn w:val="a"/>
    <w:rsid w:val="00DB5DF0"/>
    <w:pPr>
      <w:overflowPunct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styleId="a6">
    <w:name w:val="Body Text Indent"/>
    <w:basedOn w:val="a"/>
    <w:rsid w:val="004A0378"/>
    <w:pPr>
      <w:spacing w:after="120"/>
      <w:ind w:left="283"/>
    </w:pPr>
  </w:style>
  <w:style w:type="paragraph" w:styleId="2">
    <w:name w:val="Body Text Indent 2"/>
    <w:basedOn w:val="a"/>
    <w:rsid w:val="004A0378"/>
    <w:pPr>
      <w:spacing w:after="120" w:line="480" w:lineRule="auto"/>
      <w:ind w:left="283"/>
    </w:pPr>
  </w:style>
  <w:style w:type="character" w:customStyle="1" w:styleId="10">
    <w:name w:val="Заголовок 1 Знак"/>
    <w:link w:val="1"/>
    <w:locked/>
    <w:rsid w:val="004A0378"/>
    <w:rPr>
      <w:sz w:val="24"/>
      <w:lang w:val="ru-RU" w:eastAsia="ru-RU" w:bidi="ar-SA"/>
    </w:rPr>
  </w:style>
  <w:style w:type="paragraph" w:styleId="a7">
    <w:name w:val="Balloon Text"/>
    <w:basedOn w:val="a"/>
    <w:link w:val="a8"/>
    <w:rsid w:val="000A6C84"/>
    <w:rPr>
      <w:rFonts w:ascii="Tahoma" w:hAnsi="Tahoma"/>
      <w:sz w:val="16"/>
      <w:szCs w:val="16"/>
      <w:lang w:val="x-none" w:eastAsia="x-none"/>
    </w:rPr>
  </w:style>
  <w:style w:type="character" w:customStyle="1" w:styleId="a8">
    <w:name w:val="Текст выноски Знак"/>
    <w:link w:val="a7"/>
    <w:rsid w:val="000A6C84"/>
    <w:rPr>
      <w:rFonts w:ascii="Tahoma" w:hAnsi="Tahoma" w:cs="Tahoma"/>
      <w:sz w:val="16"/>
      <w:szCs w:val="16"/>
    </w:rPr>
  </w:style>
  <w:style w:type="character" w:customStyle="1" w:styleId="3">
    <w:name w:val=" Знак Знак3"/>
    <w:rsid w:val="00D668D8"/>
    <w:rPr>
      <w:rFonts w:ascii="Arial" w:hAnsi="Arial" w:cs="Arial"/>
      <w:b/>
      <w:bCs/>
      <w:color w:val="000080"/>
      <w:lang w:val="ru-RU" w:eastAsia="ru-RU" w:bidi="ar-SA"/>
    </w:rPr>
  </w:style>
  <w:style w:type="paragraph" w:customStyle="1" w:styleId="a9">
    <w:name w:val="Заголовок статьи"/>
    <w:basedOn w:val="a"/>
    <w:next w:val="a"/>
    <w:rsid w:val="00B75B0C"/>
    <w:pPr>
      <w:overflowPunct/>
      <w:ind w:left="1612" w:hanging="892"/>
      <w:jc w:val="both"/>
    </w:pPr>
    <w:rPr>
      <w:rFonts w:ascii="Arial" w:hAnsi="Arial"/>
      <w:sz w:val="24"/>
      <w:szCs w:val="24"/>
    </w:rPr>
  </w:style>
  <w:style w:type="paragraph" w:styleId="aa">
    <w:name w:val="Plain Text"/>
    <w:basedOn w:val="a"/>
    <w:rsid w:val="00500AE8"/>
    <w:pPr>
      <w:overflowPunct/>
      <w:autoSpaceDE/>
      <w:autoSpaceDN/>
      <w:adjustRightInd/>
    </w:pPr>
    <w:rPr>
      <w:rFonts w:ascii="Courier New" w:hAnsi="Courier New" w:cs="Courier New"/>
      <w:spacing w:val="26"/>
    </w:rPr>
  </w:style>
  <w:style w:type="paragraph" w:customStyle="1" w:styleId="ConsNormal">
    <w:name w:val="ConsNormal"/>
    <w:rsid w:val="008A7642"/>
    <w:pPr>
      <w:widowControl w:val="0"/>
      <w:autoSpaceDE w:val="0"/>
      <w:autoSpaceDN w:val="0"/>
      <w:adjustRightInd w:val="0"/>
      <w:ind w:right="19772" w:firstLine="720"/>
    </w:pPr>
    <w:rPr>
      <w:rFonts w:ascii="Arial" w:eastAsia="Calibri" w:hAnsi="Arial" w:cs="Arial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52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3524</Words>
  <Characters>20088</Characters>
  <Application>Microsoft Office Word</Application>
  <DocSecurity>0</DocSecurity>
  <Lines>167</Lines>
  <Paragraphs>47</Paragraphs>
  <ScaleCrop>false</ScaleCrop>
  <Company/>
  <LinksUpToDate>false</LinksUpToDate>
  <CharactersWithSpaces>23565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2024-04-10T21:33:00Z</dcterms:created>
  <dcterms:modified xsi:type="dcterms:W3CDTF">2024-04-10T21:33:00Z</dcterms:modified>
</cp:coreProperties>
</file>