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A18E5E0" w14:textId="77777777" w:rsidR="00000000" w:rsidRDefault="00696FE6">
      <w:pPr>
        <w:ind w:firstLine="567"/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Судья: </w:t>
      </w:r>
      <w:r>
        <w:rPr>
          <w:rStyle w:val="cat-FIOgrp-12rplc-0"/>
          <w:lang w:val="en-BE" w:eastAsia="en-BE" w:bidi="ar-SA"/>
        </w:rPr>
        <w:t>фио</w:t>
      </w:r>
    </w:p>
    <w:p w14:paraId="78376A75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Номер дела в суде первой инстанции: 2-3687/</w:t>
      </w:r>
      <w:r>
        <w:rPr>
          <w:rStyle w:val="cat-Dategrp-1rplc-1"/>
          <w:lang w:val="en-BE" w:eastAsia="en-BE" w:bidi="ar-SA"/>
        </w:rPr>
        <w:t>дата</w:t>
      </w:r>
    </w:p>
    <w:p w14:paraId="00FC1187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Номер дела в суде апелляционной инстанции: 33-23222/</w:t>
      </w:r>
      <w:r>
        <w:rPr>
          <w:rStyle w:val="cat-Dategrp-2rplc-2"/>
          <w:lang w:val="en-BE" w:eastAsia="en-BE" w:bidi="ar-SA"/>
        </w:rPr>
        <w:t>дата</w:t>
      </w:r>
    </w:p>
    <w:p w14:paraId="613927CE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                                     </w:t>
      </w:r>
      <w:r>
        <w:rPr>
          <w:lang w:val="en-BE" w:eastAsia="en-BE" w:bidi="ar-SA"/>
        </w:rPr>
        <w:t xml:space="preserve">                 </w:t>
      </w:r>
    </w:p>
    <w:p w14:paraId="68B8F9C7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АПЕЛЛЯЦИОННОЕ ОПРЕДЕЛЕНИЕ</w:t>
      </w:r>
    </w:p>
    <w:p w14:paraId="1B533AD6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6304DAAA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rStyle w:val="cat-Addressgrp-0rplc-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               </w:t>
      </w:r>
      <w:r>
        <w:rPr>
          <w:rStyle w:val="cat-Dategrp-3rplc-4"/>
          <w:lang w:val="en-BE" w:eastAsia="en-BE" w:bidi="ar-SA"/>
        </w:rPr>
        <w:t>дата</w:t>
      </w:r>
      <w:r>
        <w:rPr>
          <w:rStyle w:val="cat-Dategrp-3rplc-4"/>
          <w:lang w:val="en-BE" w:eastAsia="en-BE" w:bidi="ar-SA"/>
        </w:rPr>
        <w:tab/>
      </w:r>
      <w:r>
        <w:rPr>
          <w:lang w:val="en-BE" w:eastAsia="en-BE" w:bidi="ar-SA"/>
        </w:rPr>
        <w:t xml:space="preserve">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  <w:t xml:space="preserve">   </w:t>
      </w:r>
      <w:r>
        <w:rPr>
          <w:lang w:val="en-BE" w:eastAsia="en-BE" w:bidi="ar-SA"/>
        </w:rPr>
        <w:tab/>
        <w:t xml:space="preserve">               </w:t>
      </w:r>
    </w:p>
    <w:p w14:paraId="4C458B11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Судебная коллегия по гражданским делам </w:t>
      </w:r>
      <w:r>
        <w:rPr>
          <w:lang w:val="en-BE" w:eastAsia="en-BE" w:bidi="ar-SA"/>
        </w:rPr>
        <w:t xml:space="preserve">Московского городского суда в составе председательствующего </w:t>
      </w:r>
      <w:r>
        <w:rPr>
          <w:rStyle w:val="cat-FIOgrp-13rplc-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2F4E6D1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судей </w:t>
      </w:r>
      <w:r>
        <w:rPr>
          <w:rStyle w:val="cat-FIOgrp-14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15rplc-7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8479906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ведении протокола судебного заседания помощником судьи </w:t>
      </w:r>
      <w:r>
        <w:rPr>
          <w:rStyle w:val="cat-FIOgrp-16rplc-8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DC63E64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заслушав в открытом судебном заседании по докладу судьи </w:t>
      </w:r>
      <w:r>
        <w:rPr>
          <w:rStyle w:val="cat-FIOgrp-14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гражданское дело по апелляционной жалобе ответчика </w:t>
      </w:r>
      <w:r>
        <w:rPr>
          <w:lang w:val="en-BE" w:eastAsia="en-BE" w:bidi="ar-SA"/>
        </w:rPr>
        <w:t xml:space="preserve">Шуваловой Н.А. на решение Савеловского районного суда </w:t>
      </w:r>
      <w:r>
        <w:rPr>
          <w:rStyle w:val="cat-Addressgrp-0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</w:t>
      </w:r>
      <w:r>
        <w:rPr>
          <w:rStyle w:val="cat-Dategrp-4rplc-12"/>
          <w:lang w:val="en-BE" w:eastAsia="en-BE" w:bidi="ar-SA"/>
        </w:rPr>
        <w:t>дата</w:t>
      </w:r>
      <w:r>
        <w:rPr>
          <w:lang w:val="en-BE" w:eastAsia="en-BE" w:bidi="ar-SA"/>
        </w:rPr>
        <w:t>, которым постановлено:</w:t>
      </w:r>
    </w:p>
    <w:p w14:paraId="1954598C" w14:textId="77777777" w:rsidR="00000000" w:rsidRDefault="00696FE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- Поволжский банк ПАО Сбербанк удовлетворить.</w:t>
      </w:r>
    </w:p>
    <w:p w14:paraId="53FC13D2" w14:textId="77777777" w:rsidR="00000000" w:rsidRDefault="00696FE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Шуваловой Натальи Александровны в пользу ПАО Сбербанк в лице </w:t>
      </w:r>
      <w:r>
        <w:rPr>
          <w:lang w:val="en-BE" w:eastAsia="en-BE" w:bidi="ar-SA"/>
        </w:rPr>
        <w:t xml:space="preserve">филиала - Поволжский банк ПАО Сбербанк задолженность по эмиссионному контракту              в размере </w:t>
      </w:r>
      <w:r>
        <w:rPr>
          <w:rStyle w:val="cat-Sumgrp-19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20rplc-15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</w:p>
    <w:p w14:paraId="08912F77" w14:textId="77777777" w:rsidR="00000000" w:rsidRDefault="00696FE6">
      <w:pPr>
        <w:ind w:firstLine="567"/>
        <w:jc w:val="center"/>
        <w:rPr>
          <w:lang w:val="en-BE" w:eastAsia="en-BE" w:bidi="ar-SA"/>
        </w:rPr>
      </w:pPr>
    </w:p>
    <w:p w14:paraId="44D6A958" w14:textId="77777777" w:rsidR="00000000" w:rsidRDefault="00696FE6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установила:</w:t>
      </w:r>
    </w:p>
    <w:p w14:paraId="7A2B68E3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6E63B716" w14:textId="77777777" w:rsidR="00000000" w:rsidRDefault="00696FE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в лице филиала - Поволжский банк ПАО Сбербанк обратился в суд с иском к Шу</w:t>
      </w:r>
      <w:r>
        <w:rPr>
          <w:lang w:val="en-BE" w:eastAsia="en-BE" w:bidi="ar-SA"/>
        </w:rPr>
        <w:t xml:space="preserve">валовой Н.А. о взыскании суммы задолженности по эмиссионному контракту в размере </w:t>
      </w:r>
      <w:r>
        <w:rPr>
          <w:rStyle w:val="cat-Sumgrp-19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расходов по уплате государственной пошлины в размере </w:t>
      </w:r>
      <w:r>
        <w:rPr>
          <w:rStyle w:val="cat-Sumgrp-20rplc-18"/>
          <w:lang w:val="en-BE" w:eastAsia="en-BE" w:bidi="ar-SA"/>
        </w:rPr>
        <w:t>сумма</w:t>
      </w:r>
      <w:r>
        <w:rPr>
          <w:lang w:val="en-BE" w:eastAsia="en-BE" w:bidi="ar-SA"/>
        </w:rPr>
        <w:t>, мотивируя свои требования тем, что заемщик не исполняет надлежащим образом свои обязательства, вследствие че</w:t>
      </w:r>
      <w:r>
        <w:rPr>
          <w:lang w:val="en-BE" w:eastAsia="en-BE" w:bidi="ar-SA"/>
        </w:rPr>
        <w:t xml:space="preserve">го образовалась задолженность по погашению кредита и уплате процентов за пользование кредитом и за просрочку платежей. </w:t>
      </w:r>
    </w:p>
    <w:p w14:paraId="0273B31E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Сбербанк в лице филиала - Поволжский банк ПАО Сбербанк в заседание суда первой инстанции не явился, извещался о </w:t>
      </w:r>
      <w:r>
        <w:rPr>
          <w:lang w:val="en-BE" w:eastAsia="en-BE" w:bidi="ar-SA"/>
        </w:rPr>
        <w:t xml:space="preserve">времени и месте рассмотрения дела заблаговременно и надлежащим образом, просил рассмотреть дело в его отсутствие. </w:t>
      </w:r>
    </w:p>
    <w:p w14:paraId="2BAB3D92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Шувалова Н.А. в заседание суда первой инстанции не явилась, извещалась о времени и месте рассмотрения дела. </w:t>
      </w:r>
    </w:p>
    <w:p w14:paraId="6365E24E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постановлено выше</w:t>
      </w:r>
      <w:r>
        <w:rPr>
          <w:lang w:val="en-BE" w:eastAsia="en-BE" w:bidi="ar-SA"/>
        </w:rPr>
        <w:t>указанное решение (л.д. 58-60), об отмене которого по доводам апелляционной жалобы просит ответчик Шувалова Н.А., ссылаясь на то, что судом первой инстанции не была извещена надлежащим образом о слушании дела, а потому не могла защищать свои интересы, в то</w:t>
      </w:r>
      <w:r>
        <w:rPr>
          <w:lang w:val="en-BE" w:eastAsia="en-BE" w:bidi="ar-SA"/>
        </w:rPr>
        <w:t xml:space="preserve">м числе заявлять о пропуске истцом срока исковой давности для обращения в суд с настоящим иском (л.д. 64-66). </w:t>
      </w:r>
    </w:p>
    <w:p w14:paraId="56A7BA21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от </w:t>
      </w:r>
      <w:r>
        <w:rPr>
          <w:rStyle w:val="cat-Dategrp-5rplc-21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судебная коллегия по гражданским делам Московского городского суда перешла к рассмотрению настоящего дела по правилам произв</w:t>
      </w:r>
      <w:r>
        <w:rPr>
          <w:lang w:val="en-BE" w:eastAsia="en-BE" w:bidi="ar-SA"/>
        </w:rPr>
        <w:t>одства в суде первой инстанции, без учета особенностей, предусмотренных главой 39 ГПК РФ (л.д. 84-85).</w:t>
      </w:r>
    </w:p>
    <w:p w14:paraId="7B9C5E20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Изучив материалы дела, обсудив вопрос о возможности рассмотрения дела в отсутствие представителя истца ПАО Сбербанк в лице филиала - Поволжский банк ПАО </w:t>
      </w:r>
      <w:r>
        <w:rPr>
          <w:lang w:val="en-BE" w:eastAsia="en-BE" w:bidi="ar-SA"/>
        </w:rPr>
        <w:t>Сбербанк, ответчика Шуваловой Н.А., к надлежащему извещению которых о слушании дела предпринимались необходимые меры, обсудив доводы апелляционной жалобы, судебная коллегия приходит к следующему.</w:t>
      </w:r>
    </w:p>
    <w:p w14:paraId="38D3DF2C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содержания искового заявления следует, что </w:t>
      </w:r>
      <w:r>
        <w:rPr>
          <w:rStyle w:val="cat-Dategrp-6rplc-2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</w:t>
      </w:r>
      <w:r>
        <w:rPr>
          <w:lang w:val="en-BE" w:eastAsia="en-BE" w:bidi="ar-SA"/>
        </w:rPr>
        <w:t xml:space="preserve"> Сбербанк и Шуваловой Н.А. заключен эмиссионный контракт № 0607-Р-363704238 на предоставление </w:t>
      </w:r>
      <w:r>
        <w:rPr>
          <w:lang w:val="en-BE" w:eastAsia="en-BE" w:bidi="ar-SA"/>
        </w:rPr>
        <w:lastRenderedPageBreak/>
        <w:t>возобновляемой кредитной линии посредством выдачи кредитной карты банка с предоставленным по ней кредитом и обслуживанием счета по данной карте российских рублях,</w:t>
      </w:r>
      <w:r>
        <w:rPr>
          <w:lang w:val="en-BE" w:eastAsia="en-BE" w:bidi="ar-SA"/>
        </w:rPr>
        <w:t xml:space="preserve"> с кредитным лимитом в размер </w:t>
      </w:r>
      <w:r>
        <w:rPr>
          <w:rStyle w:val="cat-Sumgrp-21rplc-25"/>
          <w:lang w:val="en-BE" w:eastAsia="en-BE" w:bidi="ar-SA"/>
        </w:rPr>
        <w:t>сумма</w:t>
      </w:r>
      <w:r>
        <w:rPr>
          <w:lang w:val="en-BE" w:eastAsia="en-BE" w:bidi="ar-SA"/>
        </w:rPr>
        <w:t>, под 18% годовых</w:t>
      </w:r>
    </w:p>
    <w:p w14:paraId="3325640A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заключенного договора ответчику была выдана кредитная карта, открыт счет для отражения операция, проводимых с использованием международной кредитной карты.</w:t>
      </w:r>
    </w:p>
    <w:p w14:paraId="3C7BB14B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догово</w:t>
      </w:r>
      <w:r>
        <w:rPr>
          <w:lang w:val="en-BE" w:eastAsia="en-BE" w:bidi="ar-SA"/>
        </w:rPr>
        <w:t xml:space="preserve">ра погашение кредита и уплата процентов за использование осуществляется ежемесячно по частям (оплата суммы обязательного платежа) или полностью (оплата общей суммы задолженности) в соответствии  с информацией, указанно в отчете. </w:t>
      </w:r>
    </w:p>
    <w:p w14:paraId="704D6608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</w:t>
      </w:r>
      <w:r>
        <w:rPr>
          <w:lang w:val="en-BE" w:eastAsia="en-BE" w:bidi="ar-SA"/>
        </w:rPr>
        <w:t xml:space="preserve"> кредитного договора при несвоевременном внесении (перечислении) ежемесячного платежа в погашение кредита и/или уплату процентов за пользование кредитом заемщик уплачивает кредитору неустойку, рассчитанной  по дату оплаты суммы основного долга в полном объ</w:t>
      </w:r>
      <w:r>
        <w:rPr>
          <w:lang w:val="en-BE" w:eastAsia="en-BE" w:bidi="ar-SA"/>
        </w:rPr>
        <w:t xml:space="preserve">еме. </w:t>
      </w:r>
    </w:p>
    <w:p w14:paraId="64502E4D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искового заявления, ответчик надлежащим образом не исполнял обязательства по кредитному договору, допуская просрочку погашения кредита и уплаты процентов. </w:t>
      </w:r>
    </w:p>
    <w:p w14:paraId="730D214D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Данное обстоятельство подтверждается расчетом задолженности Шуваловой Н.А.</w:t>
      </w:r>
    </w:p>
    <w:p w14:paraId="59C3854D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</w:t>
      </w:r>
      <w:r>
        <w:rPr>
          <w:lang w:val="en-BE" w:eastAsia="en-BE" w:bidi="ar-SA"/>
        </w:rPr>
        <w:t>асно ст. 393 ГК РФ должник обязан возместить кредитору убытки, причиненные неисполнением или ненадлежащим исполнением обязательства.</w:t>
      </w:r>
    </w:p>
    <w:p w14:paraId="3CDDBE67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2 ст. 811 ГК РФ, если договором займа предусмотрено возвращение займа по частям (в рассрочку), то при нарушении з</w:t>
      </w:r>
      <w:r>
        <w:rPr>
          <w:lang w:val="en-BE" w:eastAsia="en-BE" w:bidi="ar-SA"/>
        </w:rPr>
        <w:t>аемщиком срока, установленного для возврата очередной части займа, займодавец вправе потребовать возврата оставшейся сумма займа вместе с причитающимися процентами.</w:t>
      </w:r>
    </w:p>
    <w:p w14:paraId="21DE50AF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рассмотрении настоящего дела в суде апелляционной инстанции от ответчика Шуваловой Н.А.</w:t>
      </w:r>
      <w:r>
        <w:rPr>
          <w:lang w:val="en-BE" w:eastAsia="en-BE" w:bidi="ar-SA"/>
        </w:rPr>
        <w:t xml:space="preserve"> поступило заявление о применении срока исковой давности к заявленным требованиям.</w:t>
      </w:r>
    </w:p>
    <w:p w14:paraId="68CA0630" w14:textId="77777777" w:rsidR="00000000" w:rsidRDefault="00696FE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</w:t>
      </w:r>
      <w:hyperlink r:id="rId5" w:history="1">
        <w:r>
          <w:rPr>
            <w:color w:val="0000EE"/>
            <w:lang w:val="en-BE" w:eastAsia="en-BE" w:bidi="ar-SA"/>
          </w:rPr>
          <w:t xml:space="preserve"> 1 ст. 196</w:t>
        </w:r>
      </w:hyperlink>
      <w:r>
        <w:rPr>
          <w:lang w:val="en-BE" w:eastAsia="en-BE" w:bidi="ar-SA"/>
        </w:rPr>
        <w:t xml:space="preserve"> ГК РФ общий срок исковой давности</w:t>
      </w:r>
      <w:r>
        <w:rPr>
          <w:lang w:val="en-BE" w:eastAsia="en-BE" w:bidi="ar-SA"/>
        </w:rPr>
        <w:t xml:space="preserve"> составляет три года со дня, определяемого в соответствии со </w:t>
      </w:r>
      <w:hyperlink r:id="rId6" w:history="1">
        <w:r>
          <w:rPr>
            <w:color w:val="0000EE"/>
            <w:lang w:val="en-BE" w:eastAsia="en-BE" w:bidi="ar-SA"/>
          </w:rPr>
          <w:t>статьей 200</w:t>
        </w:r>
      </w:hyperlink>
      <w:r>
        <w:rPr>
          <w:lang w:val="en-BE" w:eastAsia="en-BE" w:bidi="ar-SA"/>
        </w:rPr>
        <w:t xml:space="preserve"> настоящего Кодекса.</w:t>
      </w:r>
    </w:p>
    <w:p w14:paraId="295C5D9E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7" w:history="1">
        <w:r>
          <w:rPr>
            <w:color w:val="0000EE"/>
            <w:lang w:val="en-BE" w:eastAsia="en-BE" w:bidi="ar-SA"/>
          </w:rPr>
          <w:t>п. 2 ст. 199</w:t>
        </w:r>
      </w:hyperlink>
      <w:r>
        <w:rPr>
          <w:lang w:val="en-BE" w:eastAsia="en-BE" w:bidi="ar-SA"/>
        </w:rPr>
        <w:t xml:space="preserve"> ГК РФ исковая давность применяется судом только по заявлению стороны в споре, сделанному до вынесения судом решения.</w:t>
      </w:r>
    </w:p>
    <w:p w14:paraId="57804BBE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hyperlink r:id="rId8" w:history="1">
        <w:r>
          <w:rPr>
            <w:color w:val="0000EE"/>
            <w:lang w:val="en-BE" w:eastAsia="en-BE" w:bidi="ar-SA"/>
          </w:rPr>
          <w:t>ст. 200</w:t>
        </w:r>
      </w:hyperlink>
      <w:r>
        <w:rPr>
          <w:lang w:val="en-BE" w:eastAsia="en-BE" w:bidi="ar-SA"/>
        </w:rPr>
        <w:t xml:space="preserve"> ГК РФ, если законом не установлено иное, течение срока исковой давности начинается со дня, когда лицо узнало или должно было узнать о нарушении своего</w:t>
      </w:r>
      <w:r>
        <w:rPr>
          <w:lang w:val="en-BE" w:eastAsia="en-BE" w:bidi="ar-SA"/>
        </w:rPr>
        <w:t xml:space="preserve"> права и о том, кто является надлежащим ответчиком по иску о защите этого права.</w:t>
      </w:r>
    </w:p>
    <w:p w14:paraId="6FE68D97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9" w:history="1">
        <w:r>
          <w:rPr>
            <w:color w:val="0000EE"/>
            <w:lang w:val="en-BE" w:eastAsia="en-BE" w:bidi="ar-SA"/>
          </w:rPr>
          <w:t>ст. 204</w:t>
        </w:r>
      </w:hyperlink>
      <w:r>
        <w:rPr>
          <w:lang w:val="en-BE" w:eastAsia="en-BE" w:bidi="ar-SA"/>
        </w:rPr>
        <w:t xml:space="preserve"> ГК РФ срок исковой давности не течет со дн</w:t>
      </w:r>
      <w:r>
        <w:rPr>
          <w:lang w:val="en-BE" w:eastAsia="en-BE" w:bidi="ar-SA"/>
        </w:rPr>
        <w:t>я обращения в суд в установленном порядке за защитой нарушенного права на протяжении всего времени, пока осуществляется судебная защита нарушенного права.</w:t>
      </w:r>
    </w:p>
    <w:p w14:paraId="7AD2C453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</w:t>
      </w:r>
      <w:hyperlink r:id="rId10" w:history="1">
        <w:r>
          <w:rPr>
            <w:color w:val="0000EE"/>
            <w:lang w:val="en-BE" w:eastAsia="en-BE" w:bidi="ar-SA"/>
          </w:rPr>
          <w:t>п. 18</w:t>
        </w:r>
      </w:hyperlink>
      <w:r>
        <w:rPr>
          <w:lang w:val="en-BE" w:eastAsia="en-BE" w:bidi="ar-SA"/>
        </w:rPr>
        <w:t xml:space="preserve"> постановления Пленума Верховного Суда РФ от </w:t>
      </w:r>
      <w:r>
        <w:rPr>
          <w:rStyle w:val="cat-Dategrp-7rplc-28"/>
          <w:lang w:val="en-BE" w:eastAsia="en-BE" w:bidi="ar-SA"/>
        </w:rPr>
        <w:t>дата</w:t>
      </w:r>
      <w:r>
        <w:rPr>
          <w:lang w:val="en-BE" w:eastAsia="en-BE" w:bidi="ar-SA"/>
        </w:rPr>
        <w:t xml:space="preserve"> № 43 «О некоторых вопросах, связанных с применением норм Гражданского кодекса Российской Федерации об исковой давности» следует, что по смыслу </w:t>
      </w:r>
      <w:hyperlink r:id="rId11" w:history="1">
        <w:r>
          <w:rPr>
            <w:color w:val="0000EE"/>
            <w:lang w:val="en-BE" w:eastAsia="en-BE" w:bidi="ar-SA"/>
          </w:rPr>
          <w:t>статьи 204</w:t>
        </w:r>
      </w:hyperlink>
      <w:r>
        <w:rPr>
          <w:lang w:val="en-BE" w:eastAsia="en-BE" w:bidi="ar-SA"/>
        </w:rPr>
        <w:t xml:space="preserve"> ГК РФ начавшееся до предъявления иска течение срока исковой давности продолжается лишь в случаях оставления заявления без рассмотрения либо прекращения производст</w:t>
      </w:r>
      <w:r>
        <w:rPr>
          <w:lang w:val="en-BE" w:eastAsia="en-BE" w:bidi="ar-SA"/>
        </w:rPr>
        <w:t xml:space="preserve">ва по делу по основаниям, предусмотренным </w:t>
      </w:r>
      <w:hyperlink r:id="rId12" w:history="1">
        <w:r>
          <w:rPr>
            <w:color w:val="0000EE"/>
            <w:lang w:val="en-BE" w:eastAsia="en-BE" w:bidi="ar-SA"/>
          </w:rPr>
          <w:t>абз. 2 ст. 220</w:t>
        </w:r>
      </w:hyperlink>
      <w:r>
        <w:rPr>
          <w:lang w:val="en-BE" w:eastAsia="en-BE" w:bidi="ar-SA"/>
        </w:rPr>
        <w:t xml:space="preserve"> ГПК РФ, </w:t>
      </w:r>
      <w:hyperlink r:id="rId13" w:history="1">
        <w:r>
          <w:rPr>
            <w:color w:val="0000EE"/>
            <w:lang w:val="en-BE" w:eastAsia="en-BE" w:bidi="ar-SA"/>
          </w:rPr>
          <w:t>п. 1 ч. 1 ст. 150</w:t>
        </w:r>
      </w:hyperlink>
      <w:r>
        <w:rPr>
          <w:lang w:val="en-BE" w:eastAsia="en-BE" w:bidi="ar-SA"/>
        </w:rPr>
        <w:t xml:space="preserve"> АПК РФ, с момента вступления в силу соответствующего определения суда либо отмены судебного приказа.</w:t>
      </w:r>
    </w:p>
    <w:p w14:paraId="02C2A8B4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случае прекращения производства по делу по указанным выше основаниям, а также в случае о</w:t>
      </w:r>
      <w:r>
        <w:rPr>
          <w:lang w:val="en-BE" w:eastAsia="en-BE" w:bidi="ar-SA"/>
        </w:rPr>
        <w:t>тмены судебного приказа, если неистекшая часть срока исковой давности составляет менее шести месяцев, она удлиняется до шести месяцев (</w:t>
      </w:r>
      <w:hyperlink r:id="rId14" w:history="1">
        <w:r>
          <w:rPr>
            <w:color w:val="0000EE"/>
            <w:lang w:val="en-BE" w:eastAsia="en-BE" w:bidi="ar-SA"/>
          </w:rPr>
          <w:t>п. 1</w:t>
        </w:r>
        <w:r>
          <w:rPr>
            <w:color w:val="0000EE"/>
            <w:lang w:val="en-BE" w:eastAsia="en-BE" w:bidi="ar-SA"/>
          </w:rPr>
          <w:t xml:space="preserve"> ст. 6</w:t>
        </w:r>
      </w:hyperlink>
      <w:r>
        <w:rPr>
          <w:lang w:val="en-BE" w:eastAsia="en-BE" w:bidi="ar-SA"/>
        </w:rPr>
        <w:t xml:space="preserve">, </w:t>
      </w:r>
      <w:hyperlink r:id="rId15" w:history="1">
        <w:r>
          <w:rPr>
            <w:color w:val="0000EE"/>
            <w:lang w:val="en-BE" w:eastAsia="en-BE" w:bidi="ar-SA"/>
          </w:rPr>
          <w:t>п. 3 ст. 204</w:t>
        </w:r>
      </w:hyperlink>
      <w:r>
        <w:rPr>
          <w:lang w:val="en-BE" w:eastAsia="en-BE" w:bidi="ar-SA"/>
        </w:rPr>
        <w:t xml:space="preserve"> ГК РФ).</w:t>
      </w:r>
    </w:p>
    <w:p w14:paraId="00CEC14F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 материалов дела следует, что ПАО Сбербанк в лице филиала - Поволжский банк ПАО Сбербанк обращалось к миро</w:t>
      </w:r>
      <w:r>
        <w:rPr>
          <w:lang w:val="en-BE" w:eastAsia="en-BE" w:bidi="ar-SA"/>
        </w:rPr>
        <w:t xml:space="preserve">вому судье за вынесением судебного приказа. Судебный приказ был вынесен </w:t>
      </w:r>
      <w:r>
        <w:rPr>
          <w:rStyle w:val="cat-Dategrp-8rplc-29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и был впоследствии отменен на основании ст. 129 ГПК РФ </w:t>
      </w:r>
      <w:r>
        <w:rPr>
          <w:rStyle w:val="cat-Dategrp-9rplc-30"/>
          <w:lang w:val="en-BE" w:eastAsia="en-BE" w:bidi="ar-SA"/>
        </w:rPr>
        <w:t>дата</w:t>
      </w:r>
      <w:r>
        <w:rPr>
          <w:lang w:val="en-BE" w:eastAsia="en-BE" w:bidi="ar-SA"/>
        </w:rPr>
        <w:t xml:space="preserve">. </w:t>
      </w:r>
    </w:p>
    <w:p w14:paraId="16DAA4DB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определением судьи Зеленоградского районного суда </w:t>
      </w:r>
      <w:r>
        <w:rPr>
          <w:rStyle w:val="cat-Addressgrp-0rplc-3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</w:t>
      </w:r>
      <w:r>
        <w:rPr>
          <w:rStyle w:val="cat-Dategrp-10rplc-3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было возвращено исковое заявление ПАО Сбербанк</w:t>
      </w:r>
      <w:r>
        <w:rPr>
          <w:lang w:val="en-BE" w:eastAsia="en-BE" w:bidi="ar-SA"/>
        </w:rPr>
        <w:t xml:space="preserve"> в лице филиала - Поволжский банк ПАО Сбербанк к Шуваловой Н.А. о взыскании задолженности по кредитному договору, с указанием на то, что адрес места жительства ответчика не относится к территориальной подсудности  Зеленоградского районного суда </w:t>
      </w:r>
      <w:r>
        <w:rPr>
          <w:rStyle w:val="cat-Addressgrp-0rplc-34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5CF33606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на</w:t>
      </w:r>
      <w:r>
        <w:rPr>
          <w:lang w:val="en-BE" w:eastAsia="en-BE" w:bidi="ar-SA"/>
        </w:rPr>
        <w:t xml:space="preserve">стоящим иском ПАО Сбербанк в лице филиала - Поволжский банк ПАО Сбербанк обратилось в Савеловский районный суд </w:t>
      </w:r>
      <w:r>
        <w:rPr>
          <w:rStyle w:val="cat-Addressgrp-0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согласно отметке входящей корреспонденции суда, </w:t>
      </w:r>
      <w:r>
        <w:rPr>
          <w:rStyle w:val="cat-Dategrp-11rplc-36"/>
          <w:lang w:val="en-BE" w:eastAsia="en-BE" w:bidi="ar-SA"/>
        </w:rPr>
        <w:t>дата</w:t>
      </w:r>
      <w:r>
        <w:rPr>
          <w:lang w:val="en-BE" w:eastAsia="en-BE" w:bidi="ar-SA"/>
        </w:rPr>
        <w:t>.</w:t>
      </w:r>
    </w:p>
    <w:p w14:paraId="796C7466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судебная коллегия приходит к выводу, что срок исковой давности ПАО Сб</w:t>
      </w:r>
      <w:r>
        <w:rPr>
          <w:lang w:val="en-BE" w:eastAsia="en-BE" w:bidi="ar-SA"/>
        </w:rPr>
        <w:t>ербанк в лице филиала - Поволжский банк ПАО Сбербанк для обращения с настоящими требованиями пропущен.</w:t>
      </w:r>
    </w:p>
    <w:p w14:paraId="50BA78DF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требованиями </w:t>
      </w:r>
      <w:hyperlink r:id="rId16" w:history="1">
        <w:r>
          <w:rPr>
            <w:color w:val="0000EE"/>
            <w:lang w:val="en-BE" w:eastAsia="en-BE" w:bidi="ar-SA"/>
          </w:rPr>
          <w:t>ст. 19</w:t>
        </w:r>
        <w:r>
          <w:rPr>
            <w:color w:val="0000EE"/>
            <w:lang w:val="en-BE" w:eastAsia="en-BE" w:bidi="ar-SA"/>
          </w:rPr>
          <w:t>9</w:t>
        </w:r>
      </w:hyperlink>
      <w:r>
        <w:rPr>
          <w:lang w:val="en-BE" w:eastAsia="en-BE" w:bidi="ar-SA"/>
        </w:rPr>
        <w:t xml:space="preserve"> ГПК РФ, истечение срока исковой давности, о применении которой заявлено стороной в споре, является основанием к вынесению судом решения об отказе в иске.</w:t>
      </w:r>
    </w:p>
    <w:p w14:paraId="1CBBDAC1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изложенных обстоятельствах, судебная коллегия приходит к выводу, что решение суда первой инстан</w:t>
      </w:r>
      <w:r>
        <w:rPr>
          <w:lang w:val="en-BE" w:eastAsia="en-BE" w:bidi="ar-SA"/>
        </w:rPr>
        <w:t>ции подлежит отмене, с принятием по делу нового решения об отказе в удовлетворении исковых требований, поскольку срок исковой давности истцом пропущен.</w:t>
      </w:r>
    </w:p>
    <w:p w14:paraId="6DC3EC7C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328, 329, 330 ГПК РФ, судебная коллегия</w:t>
      </w:r>
    </w:p>
    <w:p w14:paraId="1054511A" w14:textId="77777777" w:rsidR="00000000" w:rsidRDefault="00696FE6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определила:</w:t>
      </w:r>
    </w:p>
    <w:p w14:paraId="0DB81642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6A3AA436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</w:t>
      </w:r>
      <w:r>
        <w:rPr>
          <w:lang w:val="en-BE" w:eastAsia="en-BE" w:bidi="ar-SA"/>
        </w:rPr>
        <w:t xml:space="preserve">е Савеловского  районного суда </w:t>
      </w:r>
      <w:r>
        <w:rPr>
          <w:rStyle w:val="cat-Addressgrp-0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</w:t>
      </w:r>
      <w:r>
        <w:rPr>
          <w:rStyle w:val="cat-Dategrp-4rplc-3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отменить.</w:t>
      </w:r>
    </w:p>
    <w:p w14:paraId="66BA9B55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Постановить по делу новое решение.</w:t>
      </w:r>
    </w:p>
    <w:p w14:paraId="1FE6056A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исковых требований ПАО Сбербанк в лице филиала - Поволжский банк ПАО Сбербанк к Шуваловой Н.А. о взыскании задолженности по эмиссионному контракту, о</w:t>
      </w:r>
      <w:r>
        <w:rPr>
          <w:lang w:val="en-BE" w:eastAsia="en-BE" w:bidi="ar-SA"/>
        </w:rPr>
        <w:t>тказать.</w:t>
      </w:r>
    </w:p>
    <w:p w14:paraId="566A7ECF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4E8FBA18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7AE2FDF6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7135BF00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Председательствующий:</w:t>
      </w:r>
    </w:p>
    <w:p w14:paraId="35ED4DEC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6BD3385D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21263BA0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52CA3C12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336F5B4D" w14:textId="77777777" w:rsidR="00000000" w:rsidRDefault="00696FE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Судьи:</w:t>
      </w:r>
    </w:p>
    <w:p w14:paraId="520E6DDE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0E99AFC6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38F8F567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41EB4C48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7ADA3427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p w14:paraId="200FBFBF" w14:textId="77777777" w:rsidR="00000000" w:rsidRDefault="00696FE6">
      <w:pPr>
        <w:ind w:firstLine="567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FE6"/>
    <w:rsid w:val="0069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883338B"/>
  <w15:chartTrackingRefBased/>
  <w15:docId w15:val="{4F98146D-39EA-4BB5-AB07-DDE9442C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12rplc-0">
    <w:name w:val="cat-FIO grp-12 rplc-0"/>
    <w:basedOn w:val="a0"/>
  </w:style>
  <w:style w:type="character" w:customStyle="1" w:styleId="cat-Dategrp-1rplc-1">
    <w:name w:val="cat-Date grp-1 rplc-1"/>
    <w:basedOn w:val="a0"/>
  </w:style>
  <w:style w:type="character" w:customStyle="1" w:styleId="cat-Dategrp-2rplc-2">
    <w:name w:val="cat-Date grp-2 rplc-2"/>
    <w:basedOn w:val="a0"/>
  </w:style>
  <w:style w:type="character" w:customStyle="1" w:styleId="cat-Addressgrp-0rplc-3">
    <w:name w:val="cat-Address grp-0 rplc-3"/>
    <w:basedOn w:val="a0"/>
  </w:style>
  <w:style w:type="character" w:customStyle="1" w:styleId="cat-Dategrp-3rplc-4">
    <w:name w:val="cat-Date grp-3 rplc-4"/>
    <w:basedOn w:val="a0"/>
  </w:style>
  <w:style w:type="character" w:customStyle="1" w:styleId="cat-FIOgrp-13rplc-5">
    <w:name w:val="cat-FIO grp-13 rplc-5"/>
    <w:basedOn w:val="a0"/>
  </w:style>
  <w:style w:type="character" w:customStyle="1" w:styleId="cat-FIOgrp-14rplc-6">
    <w:name w:val="cat-FIO grp-14 rplc-6"/>
    <w:basedOn w:val="a0"/>
  </w:style>
  <w:style w:type="character" w:customStyle="1" w:styleId="cat-FIOgrp-15rplc-7">
    <w:name w:val="cat-FIO grp-15 rplc-7"/>
    <w:basedOn w:val="a0"/>
  </w:style>
  <w:style w:type="character" w:customStyle="1" w:styleId="cat-FIOgrp-16rplc-8">
    <w:name w:val="cat-FIO grp-16 rplc-8"/>
    <w:basedOn w:val="a0"/>
  </w:style>
  <w:style w:type="character" w:customStyle="1" w:styleId="cat-FIOgrp-14rplc-9">
    <w:name w:val="cat-FIO grp-14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Dategrp-4rplc-12">
    <w:name w:val="cat-Date grp-4 rplc-12"/>
    <w:basedOn w:val="a0"/>
  </w:style>
  <w:style w:type="character" w:customStyle="1" w:styleId="cat-Sumgrp-19rplc-14">
    <w:name w:val="cat-Sum grp-19 rplc-14"/>
    <w:basedOn w:val="a0"/>
  </w:style>
  <w:style w:type="character" w:customStyle="1" w:styleId="cat-Sumgrp-20rplc-15">
    <w:name w:val="cat-Sum grp-20 rplc-15"/>
    <w:basedOn w:val="a0"/>
  </w:style>
  <w:style w:type="character" w:customStyle="1" w:styleId="cat-Sumgrp-19rplc-17">
    <w:name w:val="cat-Sum grp-19 rplc-17"/>
    <w:basedOn w:val="a0"/>
  </w:style>
  <w:style w:type="character" w:customStyle="1" w:styleId="cat-Sumgrp-20rplc-18">
    <w:name w:val="cat-Sum grp-20 rplc-18"/>
    <w:basedOn w:val="a0"/>
  </w:style>
  <w:style w:type="character" w:customStyle="1" w:styleId="cat-Dategrp-5rplc-21">
    <w:name w:val="cat-Date grp-5 rplc-21"/>
    <w:basedOn w:val="a0"/>
  </w:style>
  <w:style w:type="character" w:customStyle="1" w:styleId="cat-Dategrp-6rplc-23">
    <w:name w:val="cat-Date grp-6 rplc-23"/>
    <w:basedOn w:val="a0"/>
  </w:style>
  <w:style w:type="character" w:customStyle="1" w:styleId="cat-Sumgrp-21rplc-25">
    <w:name w:val="cat-Sum grp-21 rplc-25"/>
    <w:basedOn w:val="a0"/>
  </w:style>
  <w:style w:type="character" w:customStyle="1" w:styleId="cat-Dategrp-7rplc-28">
    <w:name w:val="cat-Date grp-7 rplc-28"/>
    <w:basedOn w:val="a0"/>
  </w:style>
  <w:style w:type="character" w:customStyle="1" w:styleId="cat-Dategrp-8rplc-29">
    <w:name w:val="cat-Date grp-8 rplc-29"/>
    <w:basedOn w:val="a0"/>
  </w:style>
  <w:style w:type="character" w:customStyle="1" w:styleId="cat-Dategrp-9rplc-30">
    <w:name w:val="cat-Date grp-9 rplc-30"/>
    <w:basedOn w:val="a0"/>
  </w:style>
  <w:style w:type="character" w:customStyle="1" w:styleId="cat-Addressgrp-0rplc-31">
    <w:name w:val="cat-Address grp-0 rplc-31"/>
    <w:basedOn w:val="a0"/>
  </w:style>
  <w:style w:type="character" w:customStyle="1" w:styleId="cat-Dategrp-10rplc-32">
    <w:name w:val="cat-Date grp-10 rplc-32"/>
    <w:basedOn w:val="a0"/>
  </w:style>
  <w:style w:type="character" w:customStyle="1" w:styleId="cat-Addressgrp-0rplc-34">
    <w:name w:val="cat-Address grp-0 rplc-34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Dategrp-11rplc-36">
    <w:name w:val="cat-Date grp-11 rplc-36"/>
    <w:basedOn w:val="a0"/>
  </w:style>
  <w:style w:type="character" w:customStyle="1" w:styleId="cat-Addressgrp-0rplc-37">
    <w:name w:val="cat-Address grp-0 rplc-37"/>
    <w:basedOn w:val="a0"/>
  </w:style>
  <w:style w:type="character" w:customStyle="1" w:styleId="cat-Dategrp-4rplc-38">
    <w:name w:val="cat-Date grp-4 rplc-3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demo=2&amp;base=LAW&amp;n=378831&amp;dst=514&amp;field=134&amp;date=31.10.2021" TargetMode="External"/><Relationship Id="rId13" Type="http://schemas.openxmlformats.org/officeDocument/2006/relationships/hyperlink" Target="https://login.consultant.ru/link/?req=doc&amp;demo=2&amp;base=LAW&amp;n=370274&amp;dst=1586&amp;field=134&amp;date=31.10.202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demo=2&amp;base=LAW&amp;n=378831&amp;dst=101087&amp;field=134&amp;date=31.10.2021" TargetMode="External"/><Relationship Id="rId12" Type="http://schemas.openxmlformats.org/officeDocument/2006/relationships/hyperlink" Target="https://login.consultant.ru/link/?req=doc&amp;demo=2&amp;base=LAW&amp;n=383399&amp;dst=1364&amp;field=134&amp;date=31.10.20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consultant.ru/link/?req=doc&amp;demo=2&amp;base=LAW&amp;n=383399&amp;dst=571&amp;field=134&amp;date=31.10.20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demo=2&amp;base=LAW&amp;n=378831&amp;dst=514&amp;field=134&amp;date=31.10.2021" TargetMode="External"/><Relationship Id="rId11" Type="http://schemas.openxmlformats.org/officeDocument/2006/relationships/hyperlink" Target="https://login.consultant.ru/link/?req=doc&amp;demo=2&amp;base=LAW&amp;n=378831&amp;dst=529&amp;field=134&amp;date=31.10.2021" TargetMode="External"/><Relationship Id="rId5" Type="http://schemas.openxmlformats.org/officeDocument/2006/relationships/hyperlink" Target="https://login.consultant.ru/link/?req=doc&amp;demo=2&amp;base=LAW&amp;n=378831&amp;dst=510&amp;field=134&amp;date=31.10.2021" TargetMode="External"/><Relationship Id="rId15" Type="http://schemas.openxmlformats.org/officeDocument/2006/relationships/hyperlink" Target="https://login.consultant.ru/link/?req=doc&amp;demo=2&amp;base=LAW&amp;n=378831&amp;dst=533&amp;field=134&amp;date=31.10.2021" TargetMode="External"/><Relationship Id="rId10" Type="http://schemas.openxmlformats.org/officeDocument/2006/relationships/hyperlink" Target="https://login.consultant.ru/link/?req=doc&amp;demo=2&amp;base=LAW&amp;n=212489&amp;dst=100046&amp;field=134&amp;date=31.10.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demo=2&amp;base=LAW&amp;n=378831&amp;dst=529&amp;field=134&amp;date=31.10.2021" TargetMode="External"/><Relationship Id="rId14" Type="http://schemas.openxmlformats.org/officeDocument/2006/relationships/hyperlink" Target="https://login.consultant.ru/link/?req=doc&amp;demo=2&amp;base=LAW&amp;n=378831&amp;dst=239&amp;field=134&amp;date=31.10.20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1459</Words>
  <Characters>8320</Characters>
  <Application>Microsoft Office Word</Application>
  <DocSecurity>0</DocSecurity>
  <Lines>69</Lines>
  <Paragraphs>19</Paragraphs>
  <ScaleCrop>false</ScaleCrop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