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478C46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 xml:space="preserve">Судья: </w:t>
      </w:r>
      <w:r>
        <w:rPr>
          <w:rStyle w:val="cat-FIOgrp-2rplc-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Дело № 33-24624/22</w:t>
      </w:r>
    </w:p>
    <w:p w14:paraId="49DD4F71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</w:p>
    <w:p w14:paraId="4A3D7F30" w14:textId="77777777" w:rsidR="00000000" w:rsidRDefault="00DF7BE6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44525D0" w14:textId="77777777" w:rsidR="00000000" w:rsidRDefault="00DF7BE6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АПЕЛЛЯЦИОННОЕ   ОПРЕДЕЛЕНИЕ</w:t>
      </w:r>
    </w:p>
    <w:p w14:paraId="5BC85A14" w14:textId="77777777" w:rsidR="00000000" w:rsidRDefault="00DF7BE6">
      <w:pPr>
        <w:jc w:val="center"/>
        <w:rPr>
          <w:sz w:val="26"/>
          <w:szCs w:val="26"/>
          <w:lang w:val="en-BE" w:eastAsia="en-BE" w:bidi="ar-SA"/>
        </w:rPr>
      </w:pPr>
    </w:p>
    <w:p w14:paraId="30348FFA" w14:textId="77777777" w:rsidR="00000000" w:rsidRDefault="00DF7BE6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6B843412" w14:textId="77777777" w:rsidR="00000000" w:rsidRDefault="00DF7BE6">
      <w:pPr>
        <w:tabs>
          <w:tab w:val="left" w:pos="7460"/>
        </w:tabs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04 июля  2022 г.</w:t>
      </w:r>
      <w:r>
        <w:rPr>
          <w:sz w:val="26"/>
          <w:szCs w:val="26"/>
          <w:lang w:val="en-BE" w:eastAsia="en-BE" w:bidi="ar-SA"/>
        </w:rPr>
        <w:tab/>
      </w:r>
    </w:p>
    <w:p w14:paraId="49CE96F7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Судебная коллегия по гражданским делам Московского городского суда</w:t>
      </w:r>
    </w:p>
    <w:p w14:paraId="15826876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</w:t>
      </w:r>
      <w:r>
        <w:rPr>
          <w:sz w:val="26"/>
          <w:szCs w:val="26"/>
          <w:lang w:val="en-BE" w:eastAsia="en-BE" w:bidi="ar-SA"/>
        </w:rPr>
        <w:t>о Гербекова Б.И.</w:t>
      </w:r>
    </w:p>
    <w:p w14:paraId="46EE2B77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судей </w:t>
      </w:r>
      <w:r>
        <w:rPr>
          <w:rStyle w:val="cat-FIOgrp-4rplc-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и </w:t>
      </w:r>
      <w:r>
        <w:rPr>
          <w:rStyle w:val="cat-FIOgrp-5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3A0661B4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секретаре (помощнике) Дьяковой В.М.,</w:t>
      </w:r>
    </w:p>
    <w:p w14:paraId="21DEF854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рассмотрела в открытом судебном заседании по докладу судьи </w:t>
      </w:r>
      <w:r>
        <w:rPr>
          <w:rStyle w:val="cat-FIOgrp-5rplc-5"/>
          <w:sz w:val="26"/>
          <w:szCs w:val="26"/>
          <w:lang w:val="en-BE" w:eastAsia="en-BE" w:bidi="ar-SA"/>
        </w:rPr>
        <w:t>фио</w:t>
      </w:r>
    </w:p>
    <w:p w14:paraId="01E9825D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гражданское дело № 2-3355/2022 по апелляционной жалобе представителя ПАО Сбербанк по доверенности </w:t>
      </w:r>
      <w:r>
        <w:rPr>
          <w:rStyle w:val="cat-FIOgrp-7rplc-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 решение Хорош</w:t>
      </w:r>
      <w:r>
        <w:rPr>
          <w:sz w:val="26"/>
          <w:szCs w:val="26"/>
          <w:lang w:val="en-BE" w:eastAsia="en-BE" w:bidi="ar-SA"/>
        </w:rPr>
        <w:t xml:space="preserve">евского районного суда </w:t>
      </w:r>
      <w:r>
        <w:rPr>
          <w:rStyle w:val="cat-Addressgrp-0rplc-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19 ноября 2021 г., которым постановлено: </w:t>
      </w:r>
    </w:p>
    <w:p w14:paraId="763AE713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ПАО «Сбербанк России» в пользу Бойченко Лидии Ивановны убытки в размере </w:t>
      </w:r>
      <w:r>
        <w:rPr>
          <w:rStyle w:val="cat-Sumgrp-18rplc-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проценты по договору банковского вклада в размере </w:t>
      </w:r>
      <w:r>
        <w:rPr>
          <w:rStyle w:val="cat-Sumgrp-19rplc-1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штраф в размере </w:t>
      </w:r>
      <w:r>
        <w:rPr>
          <w:rStyle w:val="cat-Sumgrp-20rplc-1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расходы по у</w:t>
      </w:r>
      <w:r>
        <w:rPr>
          <w:sz w:val="26"/>
          <w:szCs w:val="26"/>
          <w:lang w:val="en-BE" w:eastAsia="en-BE" w:bidi="ar-SA"/>
        </w:rPr>
        <w:t xml:space="preserve">плате государственной пошлины в размере </w:t>
      </w:r>
      <w:r>
        <w:rPr>
          <w:rStyle w:val="cat-Sumgrp-21rplc-1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всего </w:t>
      </w:r>
      <w:r>
        <w:rPr>
          <w:rStyle w:val="cat-Sumgrp-22rplc-1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</w:t>
      </w:r>
      <w:r>
        <w:rPr>
          <w:rStyle w:val="cat-SumInWordsgrp-36rplc-14"/>
          <w:sz w:val="26"/>
          <w:szCs w:val="26"/>
          <w:lang w:val="en-BE" w:eastAsia="en-BE" w:bidi="ar-SA"/>
        </w:rPr>
        <w:t>сумма прописью</w:t>
      </w:r>
      <w:r>
        <w:rPr>
          <w:sz w:val="26"/>
          <w:szCs w:val="26"/>
          <w:lang w:val="en-BE" w:eastAsia="en-BE" w:bidi="ar-SA"/>
        </w:rPr>
        <w:t>),</w:t>
      </w:r>
    </w:p>
    <w:p w14:paraId="4CBFB412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</w:p>
    <w:p w14:paraId="716C0428" w14:textId="77777777" w:rsidR="00000000" w:rsidRDefault="00DF7BE6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УСТАНОВИЛА</w:t>
      </w:r>
    </w:p>
    <w:p w14:paraId="57E868C4" w14:textId="77777777" w:rsidR="00000000" w:rsidRDefault="00DF7BE6">
      <w:pPr>
        <w:rPr>
          <w:sz w:val="26"/>
          <w:szCs w:val="26"/>
          <w:lang w:val="en-BE" w:eastAsia="en-BE" w:bidi="ar-SA"/>
        </w:rPr>
      </w:pPr>
    </w:p>
    <w:p w14:paraId="0A08195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Бойченко Лидия Ивановна обратилась в суд с исковым заявлением к ПАО «Сбербанк России» о взыскании суммы банковского вклада, процентов, ссылалась на то, что  она</w:t>
      </w:r>
      <w:r>
        <w:rPr>
          <w:sz w:val="26"/>
          <w:szCs w:val="26"/>
          <w:lang w:val="en-BE" w:eastAsia="en-BE" w:bidi="ar-SA"/>
        </w:rPr>
        <w:t xml:space="preserve"> и ПАО «Сбербанк России» заключили договор банковского вклада «Пенсионный-плюс Сбербанка России» № 42306.810.4.3820.2016043, согласно которому она (истец) дала распоряжение перечислять ответчику полученные пенсию/пособия и другие социальные выплаты, а отве</w:t>
      </w:r>
      <w:r>
        <w:rPr>
          <w:sz w:val="26"/>
          <w:szCs w:val="26"/>
          <w:lang w:val="en-BE" w:eastAsia="en-BE" w:bidi="ar-SA"/>
        </w:rPr>
        <w:t xml:space="preserve">тчик, принимая денежные средства (вклад), сумма которых 05 ноября 2019 г. составила </w:t>
      </w:r>
      <w:r>
        <w:rPr>
          <w:rStyle w:val="cat-Sumgrp-23rplc-1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обязался возвратить сумму вклада и выплатить причитающиеся проценты в размере 3,50 % годовых, срок вклада составлял три года. Также, 24 сентября 2019 г. она (Бойченк</w:t>
      </w:r>
      <w:r>
        <w:rPr>
          <w:sz w:val="26"/>
          <w:szCs w:val="26"/>
          <w:lang w:val="en-BE" w:eastAsia="en-BE" w:bidi="ar-SA"/>
        </w:rPr>
        <w:t xml:space="preserve">о Л.И.) и ПАО «Сбербанк России» заключили договор банковского вклада «Сохраняй» № 42304.810.1.3817.6809028, в соответствии с которым она (истец) приняла на себя обязательства внести, а банк принять денежные средства (вклад) в сумме </w:t>
      </w:r>
      <w:r>
        <w:rPr>
          <w:rStyle w:val="cat-Sumgrp-24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возвратить сумму</w:t>
      </w:r>
      <w:r>
        <w:rPr>
          <w:sz w:val="26"/>
          <w:szCs w:val="26"/>
          <w:lang w:val="en-BE" w:eastAsia="en-BE" w:bidi="ar-SA"/>
        </w:rPr>
        <w:t xml:space="preserve"> вклада и выплатить причитающиеся проценты в размере 4,35 % годовых, срок вклада составлял 3 месяца, дата окончания срока вклада - 24 декабря 2019 г. Договор подразумевал неоднократную пролонгацию на тот же срок, под процентную ставку и на условиях, действ</w:t>
      </w:r>
      <w:r>
        <w:rPr>
          <w:sz w:val="26"/>
          <w:szCs w:val="26"/>
          <w:lang w:val="en-BE" w:eastAsia="en-BE" w:bidi="ar-SA"/>
        </w:rPr>
        <w:t>ующих по вкладу на дату пролонгации. В тот же день она (истец) внесла сумму вклада, а ответчик выдал ей сберегательную книжку с указанием суммы вклада. 12 декабря 2019 г. Бойченко Л.И., получив сведения о проведении ответчиком операций с денежными средства</w:t>
      </w:r>
      <w:r>
        <w:rPr>
          <w:sz w:val="26"/>
          <w:szCs w:val="26"/>
          <w:lang w:val="en-BE" w:eastAsia="en-BE" w:bidi="ar-SA"/>
        </w:rPr>
        <w:t>ми по обоим вкладам, уведомил ответчика об ошибочно списанных со счета вклада суммах. В ответ на  ее  обращение, ответчик отказал в возврате денежных средств, письменно уведомив ее (истца) о том, что 06 ноября 2019 г. в 12.29 (МСК) денежные средства по вкл</w:t>
      </w:r>
      <w:r>
        <w:rPr>
          <w:sz w:val="26"/>
          <w:szCs w:val="26"/>
          <w:lang w:val="en-BE" w:eastAsia="en-BE" w:bidi="ar-SA"/>
        </w:rPr>
        <w:t xml:space="preserve">аду «Пенсионный-плюс Сбербанка России» переведены  на счет третьего лица </w:t>
      </w:r>
      <w:r>
        <w:rPr>
          <w:rStyle w:val="cat-FIOgrp-11rplc-2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С. </w:t>
      </w:r>
      <w:r>
        <w:rPr>
          <w:sz w:val="26"/>
          <w:szCs w:val="26"/>
          <w:lang w:val="en-BE" w:eastAsia="en-BE" w:bidi="ar-SA"/>
        </w:rPr>
        <w:lastRenderedPageBreak/>
        <w:t>**8681, а 07 ноября 2019 г. в 12.55 (МСК) в мобильном приложении Сбербанк Онлайн совершена операция закрытия ее (истца) вклада «Сохраняй», денежные средства переведены на вклад</w:t>
      </w:r>
      <w:r>
        <w:rPr>
          <w:sz w:val="26"/>
          <w:szCs w:val="26"/>
          <w:lang w:val="en-BE" w:eastAsia="en-BE" w:bidi="ar-SA"/>
        </w:rPr>
        <w:t xml:space="preserve"> «Пенсионный-плюс», а затем на счет третьего лица </w:t>
      </w:r>
      <w:r>
        <w:rPr>
          <w:rStyle w:val="cat-FIOgrp-11rplc-2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С. **8681.  Она (истец) не совершала расходных операций по вкладам, возврата вкладов не требовала, не предъявляла для этого ответчику паспорта или иного документа, удостоверяющего личность, не заключала</w:t>
      </w:r>
      <w:r>
        <w:rPr>
          <w:sz w:val="26"/>
          <w:szCs w:val="26"/>
          <w:lang w:val="en-BE" w:eastAsia="en-BE" w:bidi="ar-SA"/>
        </w:rPr>
        <w:t xml:space="preserve"> с ответчиком соглашения о совершении операций с использованием системы «Сбербанк Онлайн». Учитывая эти обстоятельства и  уточнив  исковые  требования, просила взыскать с ответчика денежные средства в сумме </w:t>
      </w:r>
      <w:r>
        <w:rPr>
          <w:rStyle w:val="cat-Sumgrp-25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в связи с необоснованными списаниями денеж</w:t>
      </w:r>
      <w:r>
        <w:rPr>
          <w:sz w:val="26"/>
          <w:szCs w:val="26"/>
          <w:lang w:val="en-BE" w:eastAsia="en-BE" w:bidi="ar-SA"/>
        </w:rPr>
        <w:t>ных средств  в  период 06 ноября 2019 г. по 08 ноября 2019 г. с ее (истца) вкладов «Сохраняй» № 42304.810.1.3817.6809028 и «Пенсионный-плюс Сбербанка России» № 42306.810.4.3820.2016043, проценты по договору банковского вклада «Сохраняй» № 42304.810.1.3817.</w:t>
      </w:r>
      <w:r>
        <w:rPr>
          <w:sz w:val="26"/>
          <w:szCs w:val="26"/>
          <w:lang w:val="en-BE" w:eastAsia="en-BE" w:bidi="ar-SA"/>
        </w:rPr>
        <w:t xml:space="preserve">6809028 за период с 25 сентября 2019 г. по 31 декабря 2020 г. в сумме </w:t>
      </w:r>
      <w:r>
        <w:rPr>
          <w:rStyle w:val="cat-Sumgrp-26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проценты по договору банковского вклада «Пенсионный-плюс Сбербанка России» № 42306.810.4.3820.2016043 за период с 06 ноября 2019 г. по 21 декабря 2020 г. в сумме </w:t>
      </w:r>
      <w:r>
        <w:rPr>
          <w:rStyle w:val="cat-Sumgrp-27rplc-2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проценты з</w:t>
      </w:r>
      <w:r>
        <w:rPr>
          <w:sz w:val="26"/>
          <w:szCs w:val="26"/>
          <w:lang w:val="en-BE" w:eastAsia="en-BE" w:bidi="ar-SA"/>
        </w:rPr>
        <w:t xml:space="preserve">а необоснованное списание со счета клиента поступивших клиенту денежных средств за период с 08 ноября 2019 г. по 05 сентября 2021 г. в размере </w:t>
      </w:r>
      <w:r>
        <w:rPr>
          <w:rStyle w:val="cat-Sumgrp-28rplc-2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штраф, расходы по  оплате госпошлины.</w:t>
      </w:r>
    </w:p>
    <w:p w14:paraId="73C02AC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Представители Бойченко Л.И. по доверенности </w:t>
      </w:r>
      <w:r>
        <w:rPr>
          <w:rStyle w:val="cat-FIOgrp-12rplc-2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Кормин С.Н. в судеб</w:t>
      </w:r>
      <w:r>
        <w:rPr>
          <w:sz w:val="26"/>
          <w:szCs w:val="26"/>
          <w:lang w:val="en-BE" w:eastAsia="en-BE" w:bidi="ar-SA"/>
        </w:rPr>
        <w:t>ном заседании уточненные исковые требования поддержали по доводам указанным в иске, просили иск удовлетворить, указали,  что денежные средства были сняты со счетов без ведома истца,  у Бойченко Л.И. старая модель телефона, кнопочная, она не могла использов</w:t>
      </w:r>
      <w:r>
        <w:rPr>
          <w:sz w:val="26"/>
          <w:szCs w:val="26"/>
          <w:lang w:val="en-BE" w:eastAsia="en-BE" w:bidi="ar-SA"/>
        </w:rPr>
        <w:t xml:space="preserve">ать систему «Сбербанк Онлайн», ответчик намерено скрывает идентификацию лица, снявшего деньги. </w:t>
      </w:r>
    </w:p>
    <w:p w14:paraId="2E358216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представитель ПАО Сбербанк по доверенности </w:t>
      </w:r>
      <w:r>
        <w:rPr>
          <w:rStyle w:val="cat-FIOgrp-14rplc-3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 в судебном заседании исковые требования не признал по доводам письменных возражений, пояснив, что со ст</w:t>
      </w:r>
      <w:r>
        <w:rPr>
          <w:sz w:val="26"/>
          <w:szCs w:val="26"/>
          <w:lang w:val="en-BE" w:eastAsia="en-BE" w:bidi="ar-SA"/>
        </w:rPr>
        <w:t>ороны Банка нарушений не было, Банк действовал в соответствии с договором, заключенным с истцом. Следствием установлено третье лицо, которое совершило мошеннические действия, а  поэтому, истец должен обращаться с исковыми требованиями к этому лицу.</w:t>
      </w:r>
    </w:p>
    <w:p w14:paraId="55CC5A96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Третье </w:t>
      </w:r>
      <w:r>
        <w:rPr>
          <w:sz w:val="26"/>
          <w:szCs w:val="26"/>
          <w:lang w:val="en-BE" w:eastAsia="en-BE" w:bidi="ar-SA"/>
        </w:rPr>
        <w:t xml:space="preserve">лицо </w:t>
      </w:r>
      <w:r>
        <w:rPr>
          <w:rStyle w:val="cat-FIOgrp-15rplc-3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явилась, извещалась  надлежащим  образом. </w:t>
      </w:r>
    </w:p>
    <w:p w14:paraId="1BBC091B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 постановил вышеприведенное решение, об отмене которого просит представитель ПАО Сбербанк по доверенности </w:t>
      </w:r>
      <w:r>
        <w:rPr>
          <w:rStyle w:val="cat-FIOgrp-14rplc-3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 доводам апелляционной жалобы, а именно по тем основаниям, что вы</w:t>
      </w:r>
      <w:r>
        <w:rPr>
          <w:sz w:val="26"/>
          <w:szCs w:val="26"/>
          <w:lang w:val="en-BE" w:eastAsia="en-BE" w:bidi="ar-SA"/>
        </w:rPr>
        <w:t>воды суда не соответствуют обстоятельствам дела, судом нарушены нормы материального и процессуального права.</w:t>
      </w:r>
    </w:p>
    <w:p w14:paraId="17B617C5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ПАО Сбербанк по доверенности </w:t>
      </w:r>
      <w:r>
        <w:rPr>
          <w:rStyle w:val="cat-FIOgrp-14rplc-3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 заседание судебной коллегии явился, доводы апелляционной жалобы поддержал, просил отменить решени</w:t>
      </w:r>
      <w:r>
        <w:rPr>
          <w:sz w:val="26"/>
          <w:szCs w:val="26"/>
          <w:lang w:val="en-BE" w:eastAsia="en-BE" w:bidi="ar-SA"/>
        </w:rPr>
        <w:t>е как постановленное с нарушением закона.</w:t>
      </w:r>
    </w:p>
    <w:p w14:paraId="3FBA9491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Представители Бойченко Л.И. по доверенностям </w:t>
      </w:r>
      <w:r>
        <w:rPr>
          <w:rStyle w:val="cat-FIOgrp-12rplc-3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и Кормин С.Н. на заседание судебной коллегии явились, против доводов апелляционной жалобы возражали, </w:t>
      </w:r>
      <w:r>
        <w:rPr>
          <w:sz w:val="26"/>
          <w:szCs w:val="26"/>
          <w:lang w:val="en-BE" w:eastAsia="en-BE" w:bidi="ar-SA"/>
        </w:rPr>
        <w:lastRenderedPageBreak/>
        <w:t>полагали решение суда первой инстанции законным и просили  остав</w:t>
      </w:r>
      <w:r>
        <w:rPr>
          <w:sz w:val="26"/>
          <w:szCs w:val="26"/>
          <w:lang w:val="en-BE" w:eastAsia="en-BE" w:bidi="ar-SA"/>
        </w:rPr>
        <w:t>ить его без изменения.</w:t>
      </w:r>
    </w:p>
    <w:p w14:paraId="73E25AC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заседание судебной коллегии Бойченко Л.И., </w:t>
      </w:r>
      <w:r>
        <w:rPr>
          <w:rStyle w:val="cat-FIOgrp-15rplc-3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не явились, извещены надлежащим образом, в связи с чем, судебная коллегия, руководствуясь положениями ст. 167 ГПК РФ, полагала возможным рассмотреть дело в их отсутствие.</w:t>
      </w:r>
    </w:p>
    <w:p w14:paraId="4DC0CDBF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Судебная кол</w:t>
      </w:r>
      <w:r>
        <w:rPr>
          <w:sz w:val="26"/>
          <w:szCs w:val="26"/>
          <w:lang w:val="en-BE" w:eastAsia="en-BE" w:bidi="ar-SA"/>
        </w:rPr>
        <w:t xml:space="preserve">легия, заслушав объяснения представителя ПАО Сбербанк по доверенности </w:t>
      </w:r>
      <w:r>
        <w:rPr>
          <w:rStyle w:val="cat-FIOgrp-7rplc-3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представителей Бойченко Л.И. по доверенностям </w:t>
      </w:r>
      <w:r>
        <w:rPr>
          <w:rStyle w:val="cat-FIOgrp-16rplc-4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и Кормина С.Н., обсудив доводы апелляционной жалобы, исследовав материалы дела, не находит оснований для удовлетворения апелляционн</w:t>
      </w:r>
      <w:r>
        <w:rPr>
          <w:sz w:val="26"/>
          <w:szCs w:val="26"/>
          <w:lang w:val="en-BE" w:eastAsia="en-BE" w:bidi="ar-SA"/>
        </w:rPr>
        <w:t>ой жалобы и отмены решения суда, постановленного в соответствии с установленными обстоятельствами и требованием закона.</w:t>
      </w:r>
    </w:p>
    <w:p w14:paraId="78A1E93B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309 ГК РФ, обязательства должны исполняться надлежащим образом.</w:t>
      </w:r>
    </w:p>
    <w:p w14:paraId="767D7C42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hyperlink r:id="rId7" w:history="1">
        <w:r>
          <w:rPr>
            <w:color w:val="0000EE"/>
            <w:sz w:val="26"/>
            <w:szCs w:val="26"/>
            <w:lang w:val="en-BE" w:eastAsia="en-BE" w:bidi="ar-SA"/>
          </w:rPr>
          <w:t>Пунктом 1 ст. 854</w:t>
        </w:r>
      </w:hyperlink>
      <w:r>
        <w:rPr>
          <w:sz w:val="26"/>
          <w:szCs w:val="26"/>
          <w:lang w:val="en-BE" w:eastAsia="en-BE" w:bidi="ar-SA"/>
        </w:rPr>
        <w:t xml:space="preserve"> ГК РФ предусмотрено, что списание денежных средств со счета осуществляется банком на основании распоряжения клиента.</w:t>
      </w:r>
    </w:p>
    <w:p w14:paraId="4714EBAF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 ст. 24 Ф</w:t>
      </w:r>
      <w:r>
        <w:rPr>
          <w:sz w:val="26"/>
          <w:szCs w:val="26"/>
          <w:lang w:val="en-BE" w:eastAsia="en-BE" w:bidi="ar-SA"/>
        </w:rPr>
        <w:t>едерального закона от 02 декабря 1990 г. № 395-1 «О банках и банковской деятельности» кредитные организации обязаны организовывать внутренний контроль, обеспечивающий надлежащий уровень надежности, соответствующий характеру и масштабам проводимых операций.</w:t>
      </w:r>
    </w:p>
    <w:p w14:paraId="08A26E3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как субъект профессиональной предпринимательской деятельности в области проведения операций по счетам клиентов, осуществляющий их с определенной степенью риска, должен нести ответственность в виде возмещения убытков, причиненных неправомерным списани</w:t>
      </w:r>
      <w:r>
        <w:rPr>
          <w:sz w:val="26"/>
          <w:szCs w:val="26"/>
          <w:lang w:val="en-BE" w:eastAsia="en-BE" w:bidi="ar-SA"/>
        </w:rPr>
        <w:t>ем принадлежащих клиенту денежных средств, как за ненадлежащим образом оказанную услугу.</w:t>
      </w:r>
    </w:p>
    <w:p w14:paraId="5A6B256C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 с  п. 2  ст. 401 ГК РФ отсутствие вины доказывается лицом, нарушившим обязательство.</w:t>
      </w:r>
    </w:p>
    <w:p w14:paraId="5B877A3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 основании  ст. 9 Федерального закона от 26 января 1996 г. № 15</w:t>
      </w:r>
      <w:r>
        <w:rPr>
          <w:sz w:val="26"/>
          <w:szCs w:val="26"/>
          <w:lang w:val="en-BE" w:eastAsia="en-BE" w:bidi="ar-SA"/>
        </w:rPr>
        <w:t>-ФЗ «О введении в действие части второй Гражданского кодекса Российской Федерации» в случаях, когда одной из сторон в обязательстве является гражданин, использующий, приобретающий, заказывающий либо имеющий намерение приобрести или заказать товары (работы,</w:t>
      </w:r>
      <w:r>
        <w:rPr>
          <w:sz w:val="26"/>
          <w:szCs w:val="26"/>
          <w:lang w:val="en-BE" w:eastAsia="en-BE" w:bidi="ar-SA"/>
        </w:rPr>
        <w:t xml:space="preserve"> услуги) для личных бытовых нужд, такой гражданин пользуется правами стороны в обязательстве в соответствии с Гражданским кодексом Российской Федерации, а также правами, предоставленными потребителю Законом РФ «О защите прав потребителей» и изданными в соо</w:t>
      </w:r>
      <w:r>
        <w:rPr>
          <w:sz w:val="26"/>
          <w:szCs w:val="26"/>
          <w:lang w:val="en-BE" w:eastAsia="en-BE" w:bidi="ar-SA"/>
        </w:rPr>
        <w:t>тветствии с ним иными правовыми актами.</w:t>
      </w:r>
    </w:p>
    <w:p w14:paraId="7768BC50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Пленум Верховного Суда РФ в  п. 3 постановления от 28 июня 2012 г. № 17 «О рассмотрении судами гражданских дел по спорам о защите прав потребителей» разъяснил, что при отнесении споров к сфере регулирования Закона РФ</w:t>
      </w:r>
      <w:r>
        <w:rPr>
          <w:sz w:val="26"/>
          <w:szCs w:val="26"/>
          <w:lang w:val="en-BE" w:eastAsia="en-BE" w:bidi="ar-SA"/>
        </w:rPr>
        <w:t xml:space="preserve"> «О защите прав потребителей» следует учитывать, что, под финансовой услугой следует понимать услугу, оказываемую физическому лицу в связи с предоставлением, привлечением и (или) размещением денежных средств и их эквивалентов, выступающих в качестве самост</w:t>
      </w:r>
      <w:r>
        <w:rPr>
          <w:sz w:val="26"/>
          <w:szCs w:val="26"/>
          <w:lang w:val="en-BE" w:eastAsia="en-BE" w:bidi="ar-SA"/>
        </w:rPr>
        <w:t>оятельных объектов гражданских прав (предоставление кредитов (займов), открытие и ведение текущих и иных банковских счетов, привлечение банковских вкладов (депозитов), обслуживание банковских карт, ломбардные операции и т.п.).</w:t>
      </w:r>
    </w:p>
    <w:p w14:paraId="080D4094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834 ГК РФ по дог</w:t>
      </w:r>
      <w:r>
        <w:rPr>
          <w:sz w:val="26"/>
          <w:szCs w:val="26"/>
          <w:lang w:val="en-BE" w:eastAsia="en-BE" w:bidi="ar-SA"/>
        </w:rPr>
        <w:t>овору банковского вклада (депозита) одна сторона (банк), принявшая поступившую от другой стороны (вкладчика) или поступившую для нее денежную сумму (вклад), обязуется возвратить сумму вклада и выплатить проценты на нее на условиях и в порядке, предусмотрен</w:t>
      </w:r>
      <w:r>
        <w:rPr>
          <w:sz w:val="26"/>
          <w:szCs w:val="26"/>
          <w:lang w:val="en-BE" w:eastAsia="en-BE" w:bidi="ar-SA"/>
        </w:rPr>
        <w:t>ных договором.</w:t>
      </w:r>
    </w:p>
    <w:p w14:paraId="7F73167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Договор банковского вклада, в котором вкладчиком является гражданин, признается публичным договором (ст. 426 ГК РФ).</w:t>
      </w:r>
    </w:p>
    <w:p w14:paraId="7D312BD1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 отношениям банка и вкладчика по счету, на который внесен вклад, применяются правила о договоре банковского счета (глава 45</w:t>
      </w:r>
      <w:r>
        <w:rPr>
          <w:sz w:val="26"/>
          <w:szCs w:val="26"/>
          <w:lang w:val="en-BE" w:eastAsia="en-BE" w:bidi="ar-SA"/>
        </w:rPr>
        <w:t>), если иное не предусмотрено правилами настоящей главы или не вытекает из существа договора банковского вклада.</w:t>
      </w:r>
    </w:p>
    <w:p w14:paraId="626ADC72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3 ст. 401 ГК РФ, если иное не предусмотрено законом или договором, лицо, не исполнившее или ненадлежащим образом исполнивше</w:t>
      </w:r>
      <w:r>
        <w:rPr>
          <w:sz w:val="26"/>
          <w:szCs w:val="26"/>
          <w:lang w:val="en-BE" w:eastAsia="en-BE" w:bidi="ar-SA"/>
        </w:rPr>
        <w:t>е обязательство при осуществлении предпринимательской деятельности, несет ответственность, если не докажет, что надлежащее исполнение оказалось невозможным вследствие непреодолимой силы, т.е. чрезвычайных и непредотвратимых при данных условиях обстоятельст</w:t>
      </w:r>
      <w:r>
        <w:rPr>
          <w:sz w:val="26"/>
          <w:szCs w:val="26"/>
          <w:lang w:val="en-BE" w:eastAsia="en-BE" w:bidi="ar-SA"/>
        </w:rPr>
        <w:t>в. К таким обстоятельствам не относятся, в частности, нарушение обязанностей со стороны контрагентов должника, отсутствие на рынке нужных для исполнения товаров, отсутствие у должника необходимых денежных средств.</w:t>
      </w:r>
    </w:p>
    <w:p w14:paraId="3897F46E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п.п.1-3 ст. 845 ГК РФ по договору</w:t>
      </w:r>
      <w:r>
        <w:rPr>
          <w:sz w:val="26"/>
          <w:szCs w:val="26"/>
          <w:lang w:val="en-BE" w:eastAsia="en-BE" w:bidi="ar-SA"/>
        </w:rPr>
        <w:t xml:space="preserve">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3888F2D5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может использовать имеющиеся на счет денежные средства, гарантируя право клиента беспрепятственно распоряжаться этими средствами.</w:t>
      </w:r>
    </w:p>
    <w:p w14:paraId="78D8AB2B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ст. 847 ГК РФ права лиц, осуществляющих от имени клиента распоряжения о перечислении и выдаче средств со сче</w:t>
      </w:r>
      <w:r>
        <w:rPr>
          <w:sz w:val="26"/>
          <w:szCs w:val="26"/>
          <w:lang w:val="en-BE" w:eastAsia="en-BE" w:bidi="ar-SA"/>
        </w:rPr>
        <w:t>та - удостоверяется клиентом путем представления банку документов, предусмотренных законом, установленными в соответствии с ним банковскими правилами и договором банковского счета.</w:t>
      </w:r>
    </w:p>
    <w:p w14:paraId="2B2B9000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848 ГК РФ, банк обязан совершать для клиента операции, предусмот</w:t>
      </w:r>
      <w:r>
        <w:rPr>
          <w:sz w:val="26"/>
          <w:szCs w:val="26"/>
          <w:lang w:val="en-BE" w:eastAsia="en-BE" w:bidi="ar-SA"/>
        </w:rPr>
        <w:t>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14:paraId="414021BF" w14:textId="77777777" w:rsidR="00000000" w:rsidRDefault="00DF7BE6">
      <w:pPr>
        <w:widowControl w:val="0"/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Рассматривая дело, суд проверил доводы</w:t>
      </w:r>
      <w:r>
        <w:rPr>
          <w:sz w:val="26"/>
          <w:szCs w:val="26"/>
          <w:lang w:val="en-BE" w:eastAsia="en-BE" w:bidi="ar-SA"/>
        </w:rPr>
        <w:t xml:space="preserve"> истца, положенные в обоснование заявленных требований, возражения представителя ответчика, правильно определил обстоятельства, имеющие значение для дела, и в соответствии с требованиями закона, регулирующего данные правоотношения, обоснованно удовлетворил</w:t>
      </w:r>
      <w:r>
        <w:rPr>
          <w:sz w:val="26"/>
          <w:szCs w:val="26"/>
          <w:lang w:val="en-BE" w:eastAsia="en-BE" w:bidi="ar-SA"/>
        </w:rPr>
        <w:t xml:space="preserve"> исковые требования Бойченко Л.И.</w:t>
      </w:r>
    </w:p>
    <w:p w14:paraId="545B7CBE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следует из материалов дела и установлено судом первой инстанции, между Бойченко Л.И. и ПАО «Сбербанк России» был заключен договор банковского вклада «Пенсионный-плюс Сбербанка России» № 42306.810.4.3820.2016043, соглас</w:t>
      </w:r>
      <w:r>
        <w:rPr>
          <w:sz w:val="26"/>
          <w:szCs w:val="26"/>
          <w:lang w:val="en-BE" w:eastAsia="en-BE" w:bidi="ar-SA"/>
        </w:rPr>
        <w:t xml:space="preserve">но которому истец дала распоряжение перечислять Банку полученные пенсию (пособия) и другие социальные выплаты, а Банк, принимая денежные средства (вклад), сумма которых на  05 ноября 2019 г. составила </w:t>
      </w:r>
      <w:r>
        <w:rPr>
          <w:rStyle w:val="cat-Sumgrp-29rplc-4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обязался возвратить сумму вклада и выплатить при</w:t>
      </w:r>
      <w:r>
        <w:rPr>
          <w:sz w:val="26"/>
          <w:szCs w:val="26"/>
          <w:lang w:val="en-BE" w:eastAsia="en-BE" w:bidi="ar-SA"/>
        </w:rPr>
        <w:t xml:space="preserve">читающиеся проценты в размере 3,50 % годовых, срок вклада составлял три года. </w:t>
      </w:r>
    </w:p>
    <w:p w14:paraId="54CD757D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Условиям размещения вкладов в ПАО Сбербанк, действующим с 09 июля 2015 г. предусмотрено: </w:t>
      </w:r>
    </w:p>
    <w:p w14:paraId="69212EE6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 операции по Счету вклада выполняются в соответствии с законодательством Росс</w:t>
      </w:r>
      <w:r>
        <w:rPr>
          <w:sz w:val="26"/>
          <w:szCs w:val="26"/>
          <w:lang w:val="en-BE" w:eastAsia="en-BE" w:bidi="ar-SA"/>
        </w:rPr>
        <w:t>ийской Федерации по предъявлении Вкладчиком, Представителем или Вносителем паспорта или иного документа, удостоверяющего личность. При совершении операции по Счету вклада в интересах других лиц (Выгодоприобретателей) Вкладчик/Представитель обязан представи</w:t>
      </w:r>
      <w:r>
        <w:rPr>
          <w:sz w:val="26"/>
          <w:szCs w:val="26"/>
          <w:lang w:val="en-BE" w:eastAsia="en-BE" w:bidi="ar-SA"/>
        </w:rPr>
        <w:t>ть в Банк информацию и документы, свидетельствующие о наличии указанных лиц, а также все необходимые сведения для их идентификации (п. 2.11.1.);</w:t>
      </w:r>
    </w:p>
    <w:p w14:paraId="39111C60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 перечисление (списание) денежных средств со Счета вклада, за исключением случаев, установленных законодательс</w:t>
      </w:r>
      <w:r>
        <w:rPr>
          <w:sz w:val="26"/>
          <w:szCs w:val="26"/>
          <w:lang w:val="en-BE" w:eastAsia="en-BE" w:bidi="ar-SA"/>
        </w:rPr>
        <w:t>твом Российской Федерации, осуществляется исключительно на основании поручения Вкладчика. Расчетные документы, необходимые для проведения указанной банковской операции, составляются и подписываются Банком (п. 2.11.2);</w:t>
      </w:r>
    </w:p>
    <w:p w14:paraId="607A5B26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 Вкладчик имеет право совершать опера</w:t>
      </w:r>
      <w:r>
        <w:rPr>
          <w:sz w:val="26"/>
          <w:szCs w:val="26"/>
          <w:lang w:val="en-BE" w:eastAsia="en-BE" w:bidi="ar-SA"/>
        </w:rPr>
        <w:t>ции по Счету вклада с помощью системы «Сбербанк Онлайн» в порядке, установленном соответствующим соглашением, заключенным между Вкладчиком и Банком (п. 3.1.1.11).</w:t>
      </w:r>
    </w:p>
    <w:p w14:paraId="5107BD8F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24 сентября 2019 г. между Бойченко Л.И. и ПАО «Сбербанк России» был заключен договор банковск</w:t>
      </w:r>
      <w:r>
        <w:rPr>
          <w:sz w:val="26"/>
          <w:szCs w:val="26"/>
          <w:lang w:val="en-BE" w:eastAsia="en-BE" w:bidi="ar-SA"/>
        </w:rPr>
        <w:t xml:space="preserve">ого вклада «Сохраняй» № 42304.810.1.3817.6809028,  в соответствии с которым, истец принял на себя обязательства внести, а ответчик принять денежные средства (вклад) в сумме </w:t>
      </w:r>
      <w:r>
        <w:rPr>
          <w:rStyle w:val="cat-Sumgrp-30rplc-4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возвратить сумму вклада и выплатить причитающиеся проценты в размере 4,35 % </w:t>
      </w:r>
      <w:r>
        <w:rPr>
          <w:sz w:val="26"/>
          <w:szCs w:val="26"/>
          <w:lang w:val="en-BE" w:eastAsia="en-BE" w:bidi="ar-SA"/>
        </w:rPr>
        <w:t>годовых. Срок вклада составлял 3 мес. Дата окончания срока вклада - 24 декабря 2019 г. Договор подразумевал неоднократную пролонгацию на тот же срок, под процентную ставку и на условиях, действующих по вкладу на дату пролонгации.</w:t>
      </w:r>
    </w:p>
    <w:p w14:paraId="3100015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тот же день Бойченко Л.И</w:t>
      </w:r>
      <w:r>
        <w:rPr>
          <w:sz w:val="26"/>
          <w:szCs w:val="26"/>
          <w:lang w:val="en-BE" w:eastAsia="en-BE" w:bidi="ar-SA"/>
        </w:rPr>
        <w:t>. внесла сумму вклада, а ответчик выдал ей сберегательную книжку с указанием суммы вклада.</w:t>
      </w:r>
    </w:p>
    <w:p w14:paraId="68408A7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п. 1.1. договора банковского вклада «Сохраняй» вкладчик вносит, а Банк принимает денежные средства в сумме и валюте согласно договору, обязуется возвратить </w:t>
      </w:r>
      <w:r>
        <w:rPr>
          <w:sz w:val="26"/>
          <w:szCs w:val="26"/>
          <w:lang w:val="en-BE" w:eastAsia="en-BE" w:bidi="ar-SA"/>
        </w:rPr>
        <w:t>сумму вклада и выплатить причитающиеся проценты. Для учета денежных средств, вносимых вкладчиком, Банк открывает вкладчику счет вклада.</w:t>
      </w:r>
    </w:p>
    <w:p w14:paraId="0F0D2751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п. 1.4. договора вкладчик поручает Банку перечислять со счета вклада суммы, предусмотренные п. 3.2.1.1. Усл</w:t>
      </w:r>
      <w:r>
        <w:rPr>
          <w:sz w:val="26"/>
          <w:szCs w:val="26"/>
          <w:lang w:val="en-BE" w:eastAsia="en-BE" w:bidi="ar-SA"/>
        </w:rPr>
        <w:t>овий, а также в иных случаях, установленных договором.</w:t>
      </w:r>
    </w:p>
    <w:p w14:paraId="06A9FC5C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п.п. 2.1.- 2.4. договора сумма вклада составляет </w:t>
      </w:r>
      <w:r>
        <w:rPr>
          <w:rStyle w:val="cat-Sumgrp-30rplc-4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сроком на 3 мес. (до 24 декабря 2019 г.), процентная ставка по вкладу 4,35 % годовых.  </w:t>
      </w:r>
    </w:p>
    <w:p w14:paraId="4243162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24 сентября 2019 г. денежные средства в </w:t>
      </w:r>
      <w:r>
        <w:rPr>
          <w:sz w:val="26"/>
          <w:szCs w:val="26"/>
          <w:lang w:val="en-BE" w:eastAsia="en-BE" w:bidi="ar-SA"/>
        </w:rPr>
        <w:t xml:space="preserve">размере </w:t>
      </w:r>
      <w:r>
        <w:rPr>
          <w:rStyle w:val="cat-Sumgrp-30rplc-5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были зачислены на счет истца № 42304.810.1.3817.6809028.</w:t>
      </w:r>
    </w:p>
    <w:p w14:paraId="22B5FA57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12 декабря 2019 г. Бойченко Л.И., получив сведения о проведении Банком операций с денежными средствами по вкладу, уведомила Банк об ошибочно списанных со счета вклада суммах. </w:t>
      </w:r>
    </w:p>
    <w:p w14:paraId="3A518E1C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ответ н</w:t>
      </w:r>
      <w:r>
        <w:rPr>
          <w:sz w:val="26"/>
          <w:szCs w:val="26"/>
          <w:lang w:val="en-BE" w:eastAsia="en-BE" w:bidi="ar-SA"/>
        </w:rPr>
        <w:t>а это уведомление Банк отказал в возврате денежных средств, письменно уведомив истца о том, что:</w:t>
      </w:r>
    </w:p>
    <w:p w14:paraId="65C58BFB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05 ноября 2019 г. в 21:38:55 (МСК) произведена регистрация в мобильном приложении «Сбербанк Онлайн» с использованием данных по карте истца MAES6170 и одноразов</w:t>
      </w:r>
      <w:r>
        <w:rPr>
          <w:sz w:val="26"/>
          <w:szCs w:val="26"/>
          <w:lang w:val="en-BE" w:eastAsia="en-BE" w:bidi="ar-SA"/>
        </w:rPr>
        <w:t xml:space="preserve">ого пароля, направленного Банком на телефон </w:t>
      </w:r>
      <w:r>
        <w:rPr>
          <w:rStyle w:val="cat-PhoneNumbergrp-37rplc-52"/>
          <w:sz w:val="26"/>
          <w:szCs w:val="26"/>
          <w:lang w:val="en-BE" w:eastAsia="en-BE" w:bidi="ar-SA"/>
        </w:rPr>
        <w:t>телефон</w:t>
      </w:r>
      <w:r>
        <w:rPr>
          <w:sz w:val="26"/>
          <w:szCs w:val="26"/>
          <w:lang w:val="en-BE" w:eastAsia="en-BE" w:bidi="ar-SA"/>
        </w:rPr>
        <w:t xml:space="preserve">; </w:t>
      </w:r>
    </w:p>
    <w:p w14:paraId="669804C8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05 ноября 2019 г. в 11:16:53 (МСК) в мобильном приложении Сбербанк Онлайн совершена попытка перевода денежных средств с вклада истца «Пенсионный-плюс Сбербанка России» на счет </w:t>
      </w:r>
      <w:r>
        <w:rPr>
          <w:rStyle w:val="cat-FIOgrp-11rplc-5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С. **8681 на </w:t>
      </w:r>
      <w:r>
        <w:rPr>
          <w:rStyle w:val="cat-Sumgrp-31rplc-5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Опе</w:t>
      </w:r>
      <w:r>
        <w:rPr>
          <w:sz w:val="26"/>
          <w:szCs w:val="26"/>
          <w:lang w:val="en-BE" w:eastAsia="en-BE" w:bidi="ar-SA"/>
        </w:rPr>
        <w:t>рация была отклонена банком в целях безопасности, вход в систему Сбербанк Онлайн заблокирован;</w:t>
      </w:r>
    </w:p>
    <w:p w14:paraId="70FC5C5F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06 ноября 2019 г. в 11:42 (МСК) уполномоченным сотрудником Банка совершен звонок на контактный номер истца +79629639823 с целью уточнения правомерности операции,</w:t>
      </w:r>
      <w:r>
        <w:rPr>
          <w:sz w:val="26"/>
          <w:szCs w:val="26"/>
          <w:lang w:val="en-BE" w:eastAsia="en-BE" w:bidi="ar-SA"/>
        </w:rPr>
        <w:t xml:space="preserve"> проведенной через Сбербанк Онлайн. В диалоге после полученной идентификации получено подтверждение правомерности перевода на сумму </w:t>
      </w:r>
      <w:r>
        <w:rPr>
          <w:rStyle w:val="cat-Sumgrp-31rplc-5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доступ к системе по результатам диалога разблокирован;</w:t>
      </w:r>
    </w:p>
    <w:p w14:paraId="1C70A20C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06 ноября 2019 г. в 12:29:52 в мобильном приложении Сбербанк О</w:t>
      </w:r>
      <w:r>
        <w:rPr>
          <w:sz w:val="26"/>
          <w:szCs w:val="26"/>
          <w:lang w:val="en-BE" w:eastAsia="en-BE" w:bidi="ar-SA"/>
        </w:rPr>
        <w:t xml:space="preserve">нлайн совершен перевод денежных средств с вклада истца «Пенсионный-плюс Сбербанка России» на счет </w:t>
      </w:r>
      <w:r>
        <w:rPr>
          <w:rStyle w:val="cat-FIOgrp-11rplc-5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С. **8681 на </w:t>
      </w:r>
      <w:r>
        <w:rPr>
          <w:rStyle w:val="cat-Sumgrp-31rplc-5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280571D0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06 ноября 2019 г. в 15:06 в мобильном приложении Сбербанк Онлайн совершена операция по закрытию вклада истца «Лови выгоду», денежные с</w:t>
      </w:r>
      <w:r>
        <w:rPr>
          <w:sz w:val="26"/>
          <w:szCs w:val="26"/>
          <w:lang w:val="en-BE" w:eastAsia="en-BE" w:bidi="ar-SA"/>
        </w:rPr>
        <w:t xml:space="preserve">редства в размере </w:t>
      </w:r>
      <w:r>
        <w:rPr>
          <w:rStyle w:val="cat-Sumgrp-32rplc-5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переведены на вклад истца «Пенсионный-плюс Сбербанка России»;</w:t>
      </w:r>
    </w:p>
    <w:p w14:paraId="73EC0F07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07 ноября 2019 г. в 12:41 в мобильном приложении Сбербанк Онлайн совершен перевод денежных средств с вклада истца «Пенсионный-плюс Сбербанка России» на счет </w:t>
      </w:r>
      <w:r>
        <w:rPr>
          <w:rStyle w:val="cat-FIOgrp-11rplc-5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С. **8681</w:t>
      </w:r>
      <w:r>
        <w:rPr>
          <w:sz w:val="26"/>
          <w:szCs w:val="26"/>
          <w:lang w:val="en-BE" w:eastAsia="en-BE" w:bidi="ar-SA"/>
        </w:rPr>
        <w:t xml:space="preserve"> на </w:t>
      </w:r>
      <w:r>
        <w:rPr>
          <w:rStyle w:val="cat-Sumgrp-31rplc-6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420970E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07 ноября 2019 г. в 12:55 в мобильном приложении Сбербанк Онлайн совершена операция по закрытию вклада истца «Сохраняй», денежные средства в размере </w:t>
      </w:r>
      <w:r>
        <w:rPr>
          <w:rStyle w:val="cat-Sumgrp-33rplc-6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переведены на вклад истца «Пенсионный-плюс Сбербанка России»;</w:t>
      </w:r>
    </w:p>
    <w:p w14:paraId="7F3D6DBD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08 ноября 2019 г. в 12:51 в </w:t>
      </w:r>
      <w:r>
        <w:rPr>
          <w:sz w:val="26"/>
          <w:szCs w:val="26"/>
          <w:lang w:val="en-BE" w:eastAsia="en-BE" w:bidi="ar-SA"/>
        </w:rPr>
        <w:t xml:space="preserve">мобильном приложении Сбербанк Онлайн совершен перевод денежных средств с вклада истца «Пенсионный-плюс Сбербанка России» на счет </w:t>
      </w:r>
      <w:r>
        <w:rPr>
          <w:rStyle w:val="cat-FIOgrp-11rplc-6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С. **8681 на </w:t>
      </w:r>
      <w:r>
        <w:rPr>
          <w:rStyle w:val="cat-Sumgrp-31rplc-6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72A7D65B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Перечисление денежных средств Банком осуществлялось следующим образом:</w:t>
      </w:r>
    </w:p>
    <w:p w14:paraId="2BD7541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06 ноября 2019 г. – </w:t>
      </w:r>
      <w:r>
        <w:rPr>
          <w:rStyle w:val="cat-Sumgrp-34rplc-6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(с «Пе</w:t>
      </w:r>
      <w:r>
        <w:rPr>
          <w:sz w:val="26"/>
          <w:szCs w:val="26"/>
          <w:lang w:val="en-BE" w:eastAsia="en-BE" w:bidi="ar-SA"/>
        </w:rPr>
        <w:t xml:space="preserve">нсионный-плюс» № 42306.810.4.3820.2016043 на счет </w:t>
      </w:r>
      <w:r>
        <w:rPr>
          <w:rStyle w:val="cat-FIOgrp-17rplc-6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С. № 42306810638260618681);</w:t>
      </w:r>
    </w:p>
    <w:p w14:paraId="7EC12FD8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06 ноября 2019 г. – </w:t>
      </w:r>
      <w:r>
        <w:rPr>
          <w:rStyle w:val="cat-Sumgrp-32rplc-6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(закрытие вклада «Лови выгоду» № 42305810738176818094 на «Пенсионный-плюс» № 42306.810.4.3820.2016043);</w:t>
      </w:r>
    </w:p>
    <w:p w14:paraId="54557498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07 ноября 2019 г. - </w:t>
      </w:r>
      <w:r>
        <w:rPr>
          <w:rStyle w:val="cat-Sumgrp-34rplc-6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(с «Пенсионный-плю</w:t>
      </w:r>
      <w:r>
        <w:rPr>
          <w:sz w:val="26"/>
          <w:szCs w:val="26"/>
          <w:lang w:val="en-BE" w:eastAsia="en-BE" w:bidi="ar-SA"/>
        </w:rPr>
        <w:t xml:space="preserve">с» № 42306.810.4.3820.2016043 на счет </w:t>
      </w:r>
      <w:r>
        <w:rPr>
          <w:rStyle w:val="cat-FIOgrp-17rplc-6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С. № 42306810638260618681);</w:t>
      </w:r>
    </w:p>
    <w:p w14:paraId="6D66C04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07 ноября 2019 г. – </w:t>
      </w:r>
      <w:r>
        <w:rPr>
          <w:rStyle w:val="cat-Sumgrp-35rplc-6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(закрытию вклада истца «Сохраняй» № 42304.810.1.3817.6809028 на «Пенсионный-плюс» № 42306.810.4.3820.2016043);</w:t>
      </w:r>
    </w:p>
    <w:p w14:paraId="19EAAA67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08 ноября 2019 г.  – </w:t>
      </w:r>
      <w:r>
        <w:rPr>
          <w:rStyle w:val="cat-Sumgrp-34rplc-7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(с «Пенсионный-плюс» №</w:t>
      </w:r>
      <w:r>
        <w:rPr>
          <w:sz w:val="26"/>
          <w:szCs w:val="26"/>
          <w:lang w:val="en-BE" w:eastAsia="en-BE" w:bidi="ar-SA"/>
        </w:rPr>
        <w:t xml:space="preserve"> 42306.810.4.3820.2016043 на счет </w:t>
      </w:r>
      <w:r>
        <w:rPr>
          <w:rStyle w:val="cat-FIOgrp-17rplc-7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С. № 42306810638260618681).</w:t>
      </w:r>
    </w:p>
    <w:p w14:paraId="5A97DFCC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 обоснование заявленных требований Бойченко Л.И. утверждала,  что  она  на совершение вышеуказанных действий согласия Банку не давала.</w:t>
      </w:r>
    </w:p>
    <w:p w14:paraId="0F717FA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Данные обстоятельства в ходе судебного заседании не о</w:t>
      </w:r>
      <w:r>
        <w:rPr>
          <w:sz w:val="26"/>
          <w:szCs w:val="26"/>
          <w:lang w:val="en-BE" w:eastAsia="en-BE" w:bidi="ar-SA"/>
        </w:rPr>
        <w:t xml:space="preserve">спорены. </w:t>
      </w:r>
    </w:p>
    <w:p w14:paraId="103B351D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Как  следует  из  материалов  дела  и  установлено  судом, по факту хищения денежных средств со счета № 42306.810.4.3820.2016043 Бойченко Л.И.  в ОМВД России по </w:t>
      </w:r>
      <w:r>
        <w:rPr>
          <w:rStyle w:val="cat-Addressgrp-1rplc-7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подано заявление о возбуждении уголовного дела.</w:t>
      </w:r>
    </w:p>
    <w:p w14:paraId="4A714E4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12 декабря 2019 г. следователем</w:t>
      </w:r>
      <w:r>
        <w:rPr>
          <w:sz w:val="26"/>
          <w:szCs w:val="26"/>
          <w:lang w:val="en-BE" w:eastAsia="en-BE" w:bidi="ar-SA"/>
        </w:rPr>
        <w:t xml:space="preserve"> СО ОМВД России по </w:t>
      </w:r>
      <w:r>
        <w:rPr>
          <w:rStyle w:val="cat-Addressgrp-1rplc-7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возбуждено уголовное дело по признакам преступления, предусмотренного п. «б», ч. 4, ст. 158 УК РФ в отношении неустановленного лица, Бойченко Л.И. признана потерпевшей. </w:t>
      </w:r>
    </w:p>
    <w:p w14:paraId="77D51B8F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проверил  и обсудил доводы представителя ответчика о том,</w:t>
      </w:r>
      <w:r>
        <w:rPr>
          <w:sz w:val="26"/>
          <w:szCs w:val="26"/>
          <w:lang w:val="en-BE" w:eastAsia="en-BE" w:bidi="ar-SA"/>
        </w:rPr>
        <w:t xml:space="preserve"> что при совершении операций по списанию денежных средств со счета истца были использованы реквизиты банковской карты истца и ее персональные данные, и  обоснованно  их  отверг, указав, что, как следует из представленной ответчиком стенограммы по входящему</w:t>
      </w:r>
      <w:r>
        <w:rPr>
          <w:sz w:val="26"/>
          <w:szCs w:val="26"/>
          <w:lang w:val="en-BE" w:eastAsia="en-BE" w:bidi="ar-SA"/>
        </w:rPr>
        <w:t xml:space="preserve"> звонку клиента, клиентом кодовое слово названо было не верно, идентификация лица, произведена не была. </w:t>
      </w:r>
    </w:p>
    <w:p w14:paraId="458F435F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Дав оценку собранным по делу доказательствам в их совокупности по правилам ст.ст. 56, 67 ГПК РФ и установив, что Бойченко Л.И. не давала ПАО Сбербанк п</w:t>
      </w:r>
      <w:r>
        <w:rPr>
          <w:sz w:val="26"/>
          <w:szCs w:val="26"/>
          <w:lang w:val="en-BE" w:eastAsia="en-BE" w:bidi="ar-SA"/>
        </w:rPr>
        <w:t>оручения о списании денежных средств, однако, банк в нарушение действующего законодательства и вопреки воле клиента произвел перевод денежных средств, принадлежащих Бойченко Л.И. неустановленному лицу, чем нарушил права истца как потребителя финансовой усл</w:t>
      </w:r>
      <w:r>
        <w:rPr>
          <w:sz w:val="26"/>
          <w:szCs w:val="26"/>
          <w:lang w:val="en-BE" w:eastAsia="en-BE" w:bidi="ar-SA"/>
        </w:rPr>
        <w:t xml:space="preserve">уги, суд  первой  инстанции пришел к правильному выводу о взыскании с ответчика в пользу истца убытков в размере </w:t>
      </w:r>
      <w:r>
        <w:rPr>
          <w:rStyle w:val="cat-Sumgrp-18rplc-79"/>
          <w:sz w:val="26"/>
          <w:szCs w:val="26"/>
          <w:lang w:val="en-BE" w:eastAsia="en-BE" w:bidi="ar-SA"/>
        </w:rPr>
        <w:t>сумма</w:t>
      </w:r>
    </w:p>
    <w:p w14:paraId="24186842" w14:textId="77777777" w:rsidR="00000000" w:rsidRDefault="00DF7BE6">
      <w:pPr>
        <w:widowControl w:val="0"/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Этот вывод суда мотивирован, подтвержден имеющимися в деле  доказательствами, приведенными в решении, и оснований для признания его непра</w:t>
      </w:r>
      <w:r>
        <w:rPr>
          <w:sz w:val="26"/>
          <w:szCs w:val="26"/>
          <w:lang w:val="en-BE" w:eastAsia="en-BE" w:bidi="ar-SA"/>
        </w:rPr>
        <w:t>вильным судебная  коллегия не находит.</w:t>
      </w:r>
    </w:p>
    <w:p w14:paraId="5764702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432FB9F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Правильным является и решение суда о взыскании с ответчика процентов по договору банковского вклада в размере </w:t>
      </w:r>
      <w:r>
        <w:rPr>
          <w:rStyle w:val="cat-Sumgrp-19rplc-80"/>
          <w:sz w:val="26"/>
          <w:szCs w:val="26"/>
          <w:lang w:val="en-BE" w:eastAsia="en-BE" w:bidi="ar-SA"/>
        </w:rPr>
        <w:t>сумма</w:t>
      </w:r>
    </w:p>
    <w:p w14:paraId="18FE609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Поскольку, Бойченко Л.И., заключая договор банковского вклада, действовала в целях, не связанных с о</w:t>
      </w:r>
      <w:r>
        <w:rPr>
          <w:sz w:val="26"/>
          <w:szCs w:val="26"/>
          <w:lang w:val="en-BE" w:eastAsia="en-BE" w:bidi="ar-SA"/>
        </w:rPr>
        <w:t>существлением предпринимательской деятельности, являлась потребителем услуг ПАО Сбербанк по размещению денежных средств, следовательно, к отношениям сторон, возникшим из указанных договоров, подлежит применению Закон РФ «О защите прав потребителей».</w:t>
      </w:r>
    </w:p>
    <w:p w14:paraId="71CB9614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</w:t>
      </w:r>
      <w:r>
        <w:rPr>
          <w:sz w:val="26"/>
          <w:szCs w:val="26"/>
          <w:lang w:val="en-BE" w:eastAsia="en-BE" w:bidi="ar-SA"/>
        </w:rPr>
        <w:t>вив нарушение прав истца как потребителя, суд первой инстанции в соответствии с п. 6 ст. 13 Закона РФ «О защите прав потребителей» и, учитывая разъяснения Пленума Верховного Суда РФ, содержащимися в постановлении № 17 от 28 июня 2012 г. «О рассмотрении суд</w:t>
      </w:r>
      <w:r>
        <w:rPr>
          <w:sz w:val="26"/>
          <w:szCs w:val="26"/>
          <w:lang w:val="en-BE" w:eastAsia="en-BE" w:bidi="ar-SA"/>
        </w:rPr>
        <w:t xml:space="preserve">ами гражданских дел по спорам о защите прав потребителей», обоснованно взыскал с ответчика в пользу истца штраф за неудовлетворение в добровольном порядке требований потребителя в размере </w:t>
      </w:r>
      <w:r>
        <w:rPr>
          <w:rStyle w:val="cat-Sumgrp-20rplc-82"/>
          <w:sz w:val="26"/>
          <w:szCs w:val="26"/>
          <w:lang w:val="en-BE" w:eastAsia="en-BE" w:bidi="ar-SA"/>
        </w:rPr>
        <w:t>сумма</w:t>
      </w:r>
    </w:p>
    <w:p w14:paraId="2A4983B0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ст. 98 ГПК РФ суд обосновано взыскал с ответчика </w:t>
      </w:r>
      <w:r>
        <w:rPr>
          <w:sz w:val="26"/>
          <w:szCs w:val="26"/>
          <w:lang w:val="en-BE" w:eastAsia="en-BE" w:bidi="ar-SA"/>
        </w:rPr>
        <w:t xml:space="preserve">в пользу истца расходы  по  оплате государственной пошлины в размере </w:t>
      </w:r>
      <w:r>
        <w:rPr>
          <w:rStyle w:val="cat-Sumgrp-21rplc-8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614DCBAE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Утверждение в апелляционной жалобе о том, что суд первой инстанции,  удовлетворив заявленное ходатайство Банка об истребовании материалов  уголовного  дела, данные материалы не ист</w:t>
      </w:r>
      <w:r>
        <w:rPr>
          <w:sz w:val="26"/>
          <w:szCs w:val="26"/>
          <w:lang w:val="en-BE" w:eastAsia="en-BE" w:bidi="ar-SA"/>
        </w:rPr>
        <w:t>ребовал и не исследовал их, что является процессуальным  нарушением, необоснованно.</w:t>
      </w:r>
    </w:p>
    <w:p w14:paraId="008BBCC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67 ГПК РФ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</w:t>
      </w:r>
      <w:r>
        <w:rPr>
          <w:sz w:val="26"/>
          <w:szCs w:val="26"/>
          <w:lang w:val="en-BE" w:eastAsia="en-BE" w:bidi="ar-SA"/>
        </w:rPr>
        <w:t>хся в деле доказательств. Никакие доказательства не имеют для суда заранее установленной силы. Суд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</w:t>
      </w:r>
      <w:r>
        <w:rPr>
          <w:sz w:val="26"/>
          <w:szCs w:val="26"/>
          <w:lang w:val="en-BE" w:eastAsia="en-BE" w:bidi="ar-SA"/>
        </w:rPr>
        <w:t>ти.</w:t>
      </w:r>
    </w:p>
    <w:p w14:paraId="0BD5438F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В силу ч. 2 ст. 56 ГПК РФ, только суд определяет, какие обстоятельства имеют значение для дела, какой стороне надлежит их доказывать, выносит обстоятельства на обсуждение, даже если стороны на какие-либо из них не ссылались.</w:t>
      </w:r>
    </w:p>
    <w:p w14:paraId="0F8D79B4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суд определ</w:t>
      </w:r>
      <w:r>
        <w:rPr>
          <w:sz w:val="26"/>
          <w:szCs w:val="26"/>
          <w:lang w:val="en-BE" w:eastAsia="en-BE" w:bidi="ar-SA"/>
        </w:rPr>
        <w:t>яет необходимость доказывания того или иного обстоятельства посредством представления доказательств, при этом, определяет необходимость представления дополнительных доказательств в подтверждение того или иного обстоятельства.</w:t>
      </w:r>
    </w:p>
    <w:p w14:paraId="4182A89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оценил представленные в ма</w:t>
      </w:r>
      <w:r>
        <w:rPr>
          <w:sz w:val="26"/>
          <w:szCs w:val="26"/>
          <w:lang w:val="en-BE" w:eastAsia="en-BE" w:bidi="ar-SA"/>
        </w:rPr>
        <w:t>териалы дела доказательства в их совокупности и посчитал их достаточными для вынесения обоснованного решения.</w:t>
      </w:r>
    </w:p>
    <w:p w14:paraId="4C89D7BF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Доводы апелляционной жалобы повторяют позицию представителя ПАО Сбербанк, изложенную в суде первой инстанции, при этом не содержат данных, которые</w:t>
      </w:r>
      <w:r>
        <w:rPr>
          <w:sz w:val="26"/>
          <w:szCs w:val="26"/>
          <w:lang w:val="en-BE" w:eastAsia="en-BE" w:bidi="ar-SA"/>
        </w:rPr>
        <w:t xml:space="preserve"> не были бы проверены судом первой инстанции при рассмотрении дела, но имели бы существенное значение для его разрешения или сведений, опровергающих выводы решения суда, в связи с чем,  оснований для отмены решения суда по доводам апелляционной жалобы не и</w:t>
      </w:r>
      <w:r>
        <w:rPr>
          <w:sz w:val="26"/>
          <w:szCs w:val="26"/>
          <w:lang w:val="en-BE" w:eastAsia="en-BE" w:bidi="ar-SA"/>
        </w:rPr>
        <w:t xml:space="preserve">меется. </w:t>
      </w:r>
    </w:p>
    <w:p w14:paraId="5F268F5B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Изложенные в апелляционной жалобе доводы основаны на переоценке представленных в материалы дела доказательств, фактически выражают несогласие с выводами суда, однако, по существу их не опровергают, оснований к отмене решения не содержат, в связи с</w:t>
      </w:r>
      <w:r>
        <w:rPr>
          <w:sz w:val="26"/>
          <w:szCs w:val="26"/>
          <w:lang w:val="en-BE" w:eastAsia="en-BE" w:bidi="ar-SA"/>
        </w:rPr>
        <w:t xml:space="preserve"> чем, несостоятельны, так как, иная точка зрения на то, как должно быть разрешено дело, не может являться поводом для отмены состоявшегося по настоящему делу решения. </w:t>
      </w:r>
    </w:p>
    <w:p w14:paraId="65566F25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Мотивы, по которым суд пришел к выводу о наличии оснований для удовлетворения требований</w:t>
      </w:r>
      <w:r>
        <w:rPr>
          <w:sz w:val="26"/>
          <w:szCs w:val="26"/>
          <w:lang w:val="en-BE" w:eastAsia="en-BE" w:bidi="ar-SA"/>
        </w:rPr>
        <w:t xml:space="preserve"> истца, а также оценка доказательств, подтверждающих эти выводы, приведены в мотивировочной части решения суда, и считать их неправильными у судебной коллегии не имеется оснований.</w:t>
      </w:r>
    </w:p>
    <w:p w14:paraId="3FF2DD85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Суд с достаточной полнотой исследовал все обстоятельства дела, дал надлежа</w:t>
      </w:r>
      <w:r>
        <w:rPr>
          <w:sz w:val="26"/>
          <w:szCs w:val="26"/>
          <w:lang w:val="en-BE" w:eastAsia="en-BE" w:bidi="ar-SA"/>
        </w:rPr>
        <w:t>щую оценку представленным доказательствам, выводы суда соответствуют установленным судом обстоятельствам, материалам дела и требованиям закона, и оснований для признания их неправильными, о чем ставится вопрос в апелляционной жалобе, судебная  коллегия  не</w:t>
      </w:r>
      <w:r>
        <w:rPr>
          <w:sz w:val="26"/>
          <w:szCs w:val="26"/>
          <w:lang w:val="en-BE" w:eastAsia="en-BE" w:bidi="ar-SA"/>
        </w:rPr>
        <w:t xml:space="preserve">  находит. </w:t>
      </w:r>
    </w:p>
    <w:p w14:paraId="6329138D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Нарушений норм материального и процессуального права, повлекших вынесение незаконного решения,  в том числе и те, на которые имеются ссылки в апелляционной жалобе,  судом не допущено.</w:t>
      </w:r>
    </w:p>
    <w:p w14:paraId="39DFF911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 ст. 328, 329 ГП</w:t>
      </w:r>
      <w:r>
        <w:rPr>
          <w:sz w:val="26"/>
          <w:szCs w:val="26"/>
          <w:lang w:val="en-BE" w:eastAsia="en-BE" w:bidi="ar-SA"/>
        </w:rPr>
        <w:t>К РФ,</w:t>
      </w:r>
    </w:p>
    <w:p w14:paraId="6062C9C8" w14:textId="77777777" w:rsidR="00000000" w:rsidRDefault="00DF7BE6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судебная коллегия</w:t>
      </w:r>
    </w:p>
    <w:p w14:paraId="48E3D7DF" w14:textId="77777777" w:rsidR="00000000" w:rsidRDefault="00DF7BE6">
      <w:pPr>
        <w:ind w:firstLine="54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ОПРЕДЕЛИЛА</w:t>
      </w:r>
    </w:p>
    <w:p w14:paraId="67DD5429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30F2940B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Хорошевского районного суда </w:t>
      </w:r>
      <w:r>
        <w:rPr>
          <w:rStyle w:val="cat-Addressgrp-0rplc-8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19 ноября 2021 г. оставить без изменения, апелляционную жалобу представителя ПАО Сбербанк по доверенности </w:t>
      </w:r>
      <w:r>
        <w:rPr>
          <w:rStyle w:val="cat-FIOgrp-7rplc-8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– без удовлетворения.</w:t>
      </w:r>
    </w:p>
    <w:p w14:paraId="65263A18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068F8B3B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</w:p>
    <w:p w14:paraId="4BDD081C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Председательствующий: </w:t>
      </w:r>
    </w:p>
    <w:p w14:paraId="798D046B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31EF6C71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Судьи:</w:t>
      </w:r>
    </w:p>
    <w:p w14:paraId="491FF05C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6954D3EF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765361D8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77DD9C7E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0BC985E3" w14:textId="77777777" w:rsidR="00000000" w:rsidRDefault="00DF7BE6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4D220F89" w14:textId="77777777" w:rsidR="00000000" w:rsidRDefault="00DF7BE6">
      <w:pPr>
        <w:ind w:firstLine="540"/>
        <w:rPr>
          <w:sz w:val="26"/>
          <w:szCs w:val="26"/>
          <w:lang w:val="en-BE" w:eastAsia="en-BE" w:bidi="ar-SA"/>
        </w:rPr>
      </w:pPr>
    </w:p>
    <w:sectPr w:rsidR="00000000">
      <w:footerReference w:type="default" r:id="rId8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437E2" w14:textId="77777777" w:rsidR="00000000" w:rsidRDefault="00DF7BE6">
      <w:r>
        <w:separator/>
      </w:r>
    </w:p>
  </w:endnote>
  <w:endnote w:type="continuationSeparator" w:id="0">
    <w:p w14:paraId="0D60B97D" w14:textId="77777777" w:rsidR="00000000" w:rsidRDefault="00DF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B7E15" w14:textId="77777777" w:rsidR="00000000" w:rsidRDefault="00DF7BE6">
    <w:pPr>
      <w:spacing w:after="200" w:line="276" w:lineRule="auto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</w:instrText>
    </w:r>
    <w:r>
      <w:rPr>
        <w:sz w:val="22"/>
        <w:szCs w:val="22"/>
        <w:lang w:val="en-BE" w:eastAsia="en-BE" w:bidi="ar-SA"/>
      </w:rPr>
      <w:instrText xml:space="preserve">GE  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6120A16D" w14:textId="77777777" w:rsidR="00000000" w:rsidRDefault="00DF7BE6">
    <w:pPr>
      <w:spacing w:after="200" w:line="276" w:lineRule="auto"/>
      <w:ind w:right="360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ACBD8" w14:textId="77777777" w:rsidR="00000000" w:rsidRDefault="00DF7BE6">
      <w:r>
        <w:separator/>
      </w:r>
    </w:p>
  </w:footnote>
  <w:footnote w:type="continuationSeparator" w:id="0">
    <w:p w14:paraId="3BB24227" w14:textId="77777777" w:rsidR="00000000" w:rsidRDefault="00DF7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BE6"/>
    <w:rsid w:val="00D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254252E"/>
  <w15:chartTrackingRefBased/>
  <w15:docId w15:val="{8349928F-6275-4BC4-9FA4-4BC9C69D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FIOgrp-5rplc-5">
    <w:name w:val="cat-FIO grp-5 rplc-5"/>
    <w:basedOn w:val="a0"/>
  </w:style>
  <w:style w:type="character" w:customStyle="1" w:styleId="cat-FIOgrp-7rplc-6">
    <w:name w:val="cat-FIO grp-7 rplc-6"/>
    <w:basedOn w:val="a0"/>
  </w:style>
  <w:style w:type="character" w:customStyle="1" w:styleId="cat-Addressgrp-0rplc-7">
    <w:name w:val="cat-Address grp-0 rplc-7"/>
    <w:basedOn w:val="a0"/>
  </w:style>
  <w:style w:type="character" w:customStyle="1" w:styleId="cat-Sumgrp-18rplc-9">
    <w:name w:val="cat-Sum grp-18 rplc-9"/>
    <w:basedOn w:val="a0"/>
  </w:style>
  <w:style w:type="character" w:customStyle="1" w:styleId="cat-Sumgrp-19rplc-10">
    <w:name w:val="cat-Sum grp-19 rplc-10"/>
    <w:basedOn w:val="a0"/>
  </w:style>
  <w:style w:type="character" w:customStyle="1" w:styleId="cat-Sumgrp-20rplc-11">
    <w:name w:val="cat-Sum grp-20 rplc-11"/>
    <w:basedOn w:val="a0"/>
  </w:style>
  <w:style w:type="character" w:customStyle="1" w:styleId="cat-Sumgrp-21rplc-12">
    <w:name w:val="cat-Sum grp-21 rplc-12"/>
    <w:basedOn w:val="a0"/>
  </w:style>
  <w:style w:type="character" w:customStyle="1" w:styleId="cat-Sumgrp-22rplc-13">
    <w:name w:val="cat-Sum grp-22 rplc-13"/>
    <w:basedOn w:val="a0"/>
  </w:style>
  <w:style w:type="character" w:customStyle="1" w:styleId="cat-SumInWordsgrp-36rplc-14">
    <w:name w:val="cat-SumInWords grp-36 rplc-14"/>
    <w:basedOn w:val="a0"/>
  </w:style>
  <w:style w:type="character" w:customStyle="1" w:styleId="cat-Sumgrp-23rplc-16">
    <w:name w:val="cat-Sum grp-23 rplc-16"/>
    <w:basedOn w:val="a0"/>
  </w:style>
  <w:style w:type="character" w:customStyle="1" w:styleId="cat-Sumgrp-24rplc-18">
    <w:name w:val="cat-Sum grp-24 rplc-18"/>
    <w:basedOn w:val="a0"/>
  </w:style>
  <w:style w:type="character" w:customStyle="1" w:styleId="cat-FIOgrp-11rplc-20">
    <w:name w:val="cat-FIO grp-11 rplc-20"/>
    <w:basedOn w:val="a0"/>
  </w:style>
  <w:style w:type="character" w:customStyle="1" w:styleId="cat-FIOgrp-11rplc-21">
    <w:name w:val="cat-FIO grp-11 rplc-21"/>
    <w:basedOn w:val="a0"/>
  </w:style>
  <w:style w:type="character" w:customStyle="1" w:styleId="cat-Sumgrp-25rplc-22">
    <w:name w:val="cat-Sum grp-25 rplc-22"/>
    <w:basedOn w:val="a0"/>
  </w:style>
  <w:style w:type="character" w:customStyle="1" w:styleId="cat-Sumgrp-26rplc-23">
    <w:name w:val="cat-Sum grp-26 rplc-23"/>
    <w:basedOn w:val="a0"/>
  </w:style>
  <w:style w:type="character" w:customStyle="1" w:styleId="cat-Sumgrp-27rplc-24">
    <w:name w:val="cat-Sum grp-27 rplc-24"/>
    <w:basedOn w:val="a0"/>
  </w:style>
  <w:style w:type="character" w:customStyle="1" w:styleId="cat-Sumgrp-28rplc-25">
    <w:name w:val="cat-Sum grp-28 rplc-25"/>
    <w:basedOn w:val="a0"/>
  </w:style>
  <w:style w:type="character" w:customStyle="1" w:styleId="cat-FIOgrp-12rplc-27">
    <w:name w:val="cat-FIO grp-12 rplc-27"/>
    <w:basedOn w:val="a0"/>
  </w:style>
  <w:style w:type="character" w:customStyle="1" w:styleId="cat-FIOgrp-14rplc-30">
    <w:name w:val="cat-FIO grp-14 rplc-30"/>
    <w:basedOn w:val="a0"/>
  </w:style>
  <w:style w:type="character" w:customStyle="1" w:styleId="cat-FIOgrp-15rplc-31">
    <w:name w:val="cat-FIO grp-15 rplc-31"/>
    <w:basedOn w:val="a0"/>
  </w:style>
  <w:style w:type="character" w:customStyle="1" w:styleId="cat-FIOgrp-14rplc-32">
    <w:name w:val="cat-FIO grp-14 rplc-32"/>
    <w:basedOn w:val="a0"/>
  </w:style>
  <w:style w:type="character" w:customStyle="1" w:styleId="cat-FIOgrp-14rplc-33">
    <w:name w:val="cat-FIO grp-14 rplc-33"/>
    <w:basedOn w:val="a0"/>
  </w:style>
  <w:style w:type="character" w:customStyle="1" w:styleId="cat-FIOgrp-12rplc-35">
    <w:name w:val="cat-FIO grp-12 rplc-35"/>
    <w:basedOn w:val="a0"/>
  </w:style>
  <w:style w:type="character" w:customStyle="1" w:styleId="cat-FIOgrp-15rplc-38">
    <w:name w:val="cat-FIO grp-15 rplc-38"/>
    <w:basedOn w:val="a0"/>
  </w:style>
  <w:style w:type="character" w:customStyle="1" w:styleId="cat-FIOgrp-7rplc-39">
    <w:name w:val="cat-FIO grp-7 rplc-39"/>
    <w:basedOn w:val="a0"/>
  </w:style>
  <w:style w:type="character" w:customStyle="1" w:styleId="cat-FIOgrp-16rplc-41">
    <w:name w:val="cat-FIO grp-16 rplc-41"/>
    <w:basedOn w:val="a0"/>
  </w:style>
  <w:style w:type="character" w:customStyle="1" w:styleId="cat-Sumgrp-29rplc-45">
    <w:name w:val="cat-Sum grp-29 rplc-45"/>
    <w:basedOn w:val="a0"/>
  </w:style>
  <w:style w:type="character" w:customStyle="1" w:styleId="cat-Sumgrp-30rplc-47">
    <w:name w:val="cat-Sum grp-30 rplc-47"/>
    <w:basedOn w:val="a0"/>
  </w:style>
  <w:style w:type="character" w:customStyle="1" w:styleId="cat-Sumgrp-30rplc-49">
    <w:name w:val="cat-Sum grp-30 rplc-49"/>
    <w:basedOn w:val="a0"/>
  </w:style>
  <w:style w:type="character" w:customStyle="1" w:styleId="cat-Sumgrp-30rplc-50">
    <w:name w:val="cat-Sum grp-30 rplc-50"/>
    <w:basedOn w:val="a0"/>
  </w:style>
  <w:style w:type="character" w:customStyle="1" w:styleId="cat-PhoneNumbergrp-37rplc-52">
    <w:name w:val="cat-PhoneNumber grp-37 rplc-52"/>
    <w:basedOn w:val="a0"/>
  </w:style>
  <w:style w:type="character" w:customStyle="1" w:styleId="cat-FIOgrp-11rplc-53">
    <w:name w:val="cat-FIO grp-11 rplc-53"/>
    <w:basedOn w:val="a0"/>
  </w:style>
  <w:style w:type="character" w:customStyle="1" w:styleId="cat-Sumgrp-31rplc-54">
    <w:name w:val="cat-Sum grp-31 rplc-54"/>
    <w:basedOn w:val="a0"/>
  </w:style>
  <w:style w:type="character" w:customStyle="1" w:styleId="cat-Sumgrp-31rplc-55">
    <w:name w:val="cat-Sum grp-31 rplc-55"/>
    <w:basedOn w:val="a0"/>
  </w:style>
  <w:style w:type="character" w:customStyle="1" w:styleId="cat-FIOgrp-11rplc-56">
    <w:name w:val="cat-FIO grp-11 rplc-56"/>
    <w:basedOn w:val="a0"/>
  </w:style>
  <w:style w:type="character" w:customStyle="1" w:styleId="cat-Sumgrp-31rplc-57">
    <w:name w:val="cat-Sum grp-31 rplc-57"/>
    <w:basedOn w:val="a0"/>
  </w:style>
  <w:style w:type="character" w:customStyle="1" w:styleId="cat-Sumgrp-32rplc-58">
    <w:name w:val="cat-Sum grp-32 rplc-58"/>
    <w:basedOn w:val="a0"/>
  </w:style>
  <w:style w:type="character" w:customStyle="1" w:styleId="cat-FIOgrp-11rplc-59">
    <w:name w:val="cat-FIO grp-11 rplc-59"/>
    <w:basedOn w:val="a0"/>
  </w:style>
  <w:style w:type="character" w:customStyle="1" w:styleId="cat-Sumgrp-31rplc-60">
    <w:name w:val="cat-Sum grp-31 rplc-60"/>
    <w:basedOn w:val="a0"/>
  </w:style>
  <w:style w:type="character" w:customStyle="1" w:styleId="cat-Sumgrp-33rplc-61">
    <w:name w:val="cat-Sum grp-33 rplc-61"/>
    <w:basedOn w:val="a0"/>
  </w:style>
  <w:style w:type="character" w:customStyle="1" w:styleId="cat-FIOgrp-11rplc-62">
    <w:name w:val="cat-FIO grp-11 rplc-62"/>
    <w:basedOn w:val="a0"/>
  </w:style>
  <w:style w:type="character" w:customStyle="1" w:styleId="cat-Sumgrp-31rplc-63">
    <w:name w:val="cat-Sum grp-31 rplc-63"/>
    <w:basedOn w:val="a0"/>
  </w:style>
  <w:style w:type="character" w:customStyle="1" w:styleId="cat-Sumgrp-34rplc-64">
    <w:name w:val="cat-Sum grp-34 rplc-64"/>
    <w:basedOn w:val="a0"/>
  </w:style>
  <w:style w:type="character" w:customStyle="1" w:styleId="cat-FIOgrp-17rplc-65">
    <w:name w:val="cat-FIO grp-17 rplc-65"/>
    <w:basedOn w:val="a0"/>
  </w:style>
  <w:style w:type="character" w:customStyle="1" w:styleId="cat-Sumgrp-32rplc-66">
    <w:name w:val="cat-Sum grp-32 rplc-66"/>
    <w:basedOn w:val="a0"/>
  </w:style>
  <w:style w:type="character" w:customStyle="1" w:styleId="cat-Sumgrp-34rplc-67">
    <w:name w:val="cat-Sum grp-34 rplc-67"/>
    <w:basedOn w:val="a0"/>
  </w:style>
  <w:style w:type="character" w:customStyle="1" w:styleId="cat-FIOgrp-17rplc-68">
    <w:name w:val="cat-FIO grp-17 rplc-68"/>
    <w:basedOn w:val="a0"/>
  </w:style>
  <w:style w:type="character" w:customStyle="1" w:styleId="cat-Sumgrp-35rplc-69">
    <w:name w:val="cat-Sum grp-35 rplc-69"/>
    <w:basedOn w:val="a0"/>
  </w:style>
  <w:style w:type="character" w:customStyle="1" w:styleId="cat-Sumgrp-34rplc-70">
    <w:name w:val="cat-Sum grp-34 rplc-70"/>
    <w:basedOn w:val="a0"/>
  </w:style>
  <w:style w:type="character" w:customStyle="1" w:styleId="cat-FIOgrp-17rplc-71">
    <w:name w:val="cat-FIO grp-17 rplc-71"/>
    <w:basedOn w:val="a0"/>
  </w:style>
  <w:style w:type="character" w:customStyle="1" w:styleId="cat-Addressgrp-1rplc-74">
    <w:name w:val="cat-Address grp-1 rplc-74"/>
    <w:basedOn w:val="a0"/>
  </w:style>
  <w:style w:type="character" w:customStyle="1" w:styleId="cat-Addressgrp-1rplc-75">
    <w:name w:val="cat-Address grp-1 rplc-75"/>
    <w:basedOn w:val="a0"/>
  </w:style>
  <w:style w:type="character" w:customStyle="1" w:styleId="cat-Sumgrp-18rplc-79">
    <w:name w:val="cat-Sum grp-18 rplc-79"/>
    <w:basedOn w:val="a0"/>
  </w:style>
  <w:style w:type="character" w:customStyle="1" w:styleId="cat-Sumgrp-19rplc-80">
    <w:name w:val="cat-Sum grp-19 rplc-80"/>
    <w:basedOn w:val="a0"/>
  </w:style>
  <w:style w:type="character" w:customStyle="1" w:styleId="cat-Sumgrp-20rplc-82">
    <w:name w:val="cat-Sum grp-20 rplc-82"/>
    <w:basedOn w:val="a0"/>
  </w:style>
  <w:style w:type="character" w:customStyle="1" w:styleId="cat-Sumgrp-21rplc-83">
    <w:name w:val="cat-Sum grp-21 rplc-83"/>
    <w:basedOn w:val="a0"/>
  </w:style>
  <w:style w:type="character" w:customStyle="1" w:styleId="cat-Addressgrp-0rplc-84">
    <w:name w:val="cat-Address grp-0 rplc-84"/>
    <w:basedOn w:val="a0"/>
  </w:style>
  <w:style w:type="character" w:customStyle="1" w:styleId="cat-FIOgrp-7rplc-85">
    <w:name w:val="cat-FIO grp-7 rplc-8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D703E0704125FE7E1373BEE85F248E4665923818D683019CED21F9A637188682E2C4ACC6191169AD4094CFEF29F992D1EF7CB100BB239DD9e0A1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3476</Words>
  <Characters>19817</Characters>
  <Application>Microsoft Office Word</Application>
  <DocSecurity>0</DocSecurity>
  <Lines>165</Lines>
  <Paragraphs>46</Paragraphs>
  <ScaleCrop>false</ScaleCrop>
  <Company/>
  <LinksUpToDate>false</LinksUpToDate>
  <CharactersWithSpaces>23247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