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F14E6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highlight w:val="white"/>
        </w:rPr>
        <w:t xml:space="preserve"> </w:t>
      </w:r>
      <w:r w:rsidRPr="001973AD">
        <w:rPr>
          <w:sz w:val="24"/>
          <w:szCs w:val="24"/>
          <w:highlight w:val="white"/>
        </w:rPr>
        <w:t xml:space="preserve">Судья первой инстанции </w:t>
      </w:r>
      <w:r>
        <w:rPr>
          <w:sz w:val="24"/>
          <w:szCs w:val="24"/>
          <w:highlight w:val="white"/>
        </w:rPr>
        <w:t xml:space="preserve">Самороковская Н.В. </w:t>
      </w:r>
      <w:r w:rsidRPr="001973AD">
        <w:rPr>
          <w:sz w:val="24"/>
          <w:szCs w:val="24"/>
          <w:highlight w:val="white"/>
        </w:rPr>
        <w:t xml:space="preserve"> </w:t>
      </w:r>
    </w:p>
    <w:p w14:paraId="1821BEE8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 Гр. дело  № 33-2766</w:t>
      </w:r>
      <w:r>
        <w:rPr>
          <w:sz w:val="24"/>
          <w:szCs w:val="24"/>
          <w:highlight w:val="white"/>
        </w:rPr>
        <w:t>4</w:t>
      </w:r>
    </w:p>
    <w:p w14:paraId="61A58DCA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273D7179" w14:textId="77777777" w:rsidR="00DA054B" w:rsidRPr="001973AD" w:rsidRDefault="007E7241" w:rsidP="001973AD">
      <w:pPr>
        <w:ind w:firstLine="709"/>
        <w:jc w:val="center"/>
        <w:rPr>
          <w:b/>
          <w:sz w:val="24"/>
          <w:szCs w:val="24"/>
        </w:rPr>
      </w:pPr>
      <w:r w:rsidRPr="001973AD">
        <w:rPr>
          <w:b/>
          <w:sz w:val="24"/>
          <w:szCs w:val="24"/>
          <w:highlight w:val="white"/>
        </w:rPr>
        <w:t>АПЕЛЛЯЦИОННОЕ ОПРЕДЕЛЕНИЕ</w:t>
      </w:r>
    </w:p>
    <w:p w14:paraId="7B3708CB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09594BC9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20   июля     2016 года </w:t>
      </w:r>
    </w:p>
    <w:p w14:paraId="41BD1132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Судебная коллегия по гражданским делам Московского городского суда в составе председательствующего судьи Горновой  М.В. </w:t>
      </w:r>
    </w:p>
    <w:p w14:paraId="0D498754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судей Казаковой</w:t>
      </w:r>
      <w:r w:rsidRPr="001973AD">
        <w:rPr>
          <w:sz w:val="24"/>
          <w:szCs w:val="24"/>
          <w:highlight w:val="white"/>
        </w:rPr>
        <w:t xml:space="preserve">  О.Н., Смирновой Ю.А.   </w:t>
      </w:r>
    </w:p>
    <w:p w14:paraId="58D96506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при секретаре Н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Д.Н.    </w:t>
      </w:r>
    </w:p>
    <w:p w14:paraId="27058A45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заслушав в открытом судебном заседании по докладу судьи Казаковой  О.Н.</w:t>
      </w:r>
    </w:p>
    <w:p w14:paraId="1A9652E8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дело по апелляционной  жалобе Гориша А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>В</w:t>
      </w:r>
      <w:r>
        <w:rPr>
          <w:sz w:val="24"/>
          <w:szCs w:val="24"/>
          <w:highlight w:val="white"/>
        </w:rPr>
        <w:t>*</w:t>
      </w:r>
    </w:p>
    <w:p w14:paraId="13F75FF5" w14:textId="77777777" w:rsidR="001A29D2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на решение  Никулинского     районного суда г. Москвы от 26 января 2016        года, котор</w:t>
      </w:r>
      <w:r w:rsidRPr="001973AD">
        <w:rPr>
          <w:sz w:val="24"/>
          <w:szCs w:val="24"/>
          <w:highlight w:val="white"/>
        </w:rPr>
        <w:t>ым постановлено:</w:t>
      </w:r>
    </w:p>
    <w:p w14:paraId="1428ED08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Исковые требования Гориш А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>В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к ОАО «Сбербанк России» о взыскании денежных средств банковского вклада с начисленными процентами - оставить без удовлетворения, </w:t>
      </w:r>
    </w:p>
    <w:p w14:paraId="011A1A23" w14:textId="77777777" w:rsidR="00FA374C" w:rsidRDefault="007E7241" w:rsidP="00FA374C">
      <w:pPr>
        <w:ind w:firstLine="709"/>
        <w:jc w:val="center"/>
        <w:rPr>
          <w:b/>
          <w:sz w:val="24"/>
          <w:szCs w:val="24"/>
        </w:rPr>
      </w:pPr>
      <w:r w:rsidRPr="001973AD">
        <w:rPr>
          <w:b/>
          <w:sz w:val="24"/>
          <w:szCs w:val="24"/>
          <w:highlight w:val="white"/>
        </w:rPr>
        <w:t>УСТАНОВИЛА:</w:t>
      </w:r>
    </w:p>
    <w:p w14:paraId="6169561A" w14:textId="77777777" w:rsidR="00D630C4" w:rsidRPr="001973AD" w:rsidRDefault="007E7241" w:rsidP="00FA374C">
      <w:pPr>
        <w:ind w:firstLine="709"/>
        <w:jc w:val="center"/>
        <w:rPr>
          <w:sz w:val="24"/>
          <w:szCs w:val="24"/>
        </w:rPr>
      </w:pPr>
    </w:p>
    <w:p w14:paraId="211915CA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истец Гориш А.В. обратился в суд с иском к ответчику ОАО «Сбербанк</w:t>
      </w:r>
      <w:r w:rsidRPr="001973AD">
        <w:rPr>
          <w:sz w:val="24"/>
          <w:szCs w:val="24"/>
          <w:highlight w:val="white"/>
        </w:rPr>
        <w:t xml:space="preserve"> России» о взыскании денежных средств банковского вклада с начисленными процентами в сумме </w:t>
      </w:r>
      <w:r>
        <w:rPr>
          <w:sz w:val="24"/>
          <w:szCs w:val="24"/>
          <w:highlight w:val="white"/>
        </w:rPr>
        <w:t>*</w:t>
      </w:r>
    </w:p>
    <w:p w14:paraId="5A65AC5D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Исковые требования мотивировал тем, что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года Гориш А.В. заключил договор по вкладу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подписав при заключении договора лишь один документ, а именно «Условия по </w:t>
      </w:r>
      <w:r w:rsidRPr="001973AD">
        <w:rPr>
          <w:sz w:val="24"/>
          <w:szCs w:val="24"/>
          <w:highlight w:val="white"/>
        </w:rPr>
        <w:t xml:space="preserve">размещению денежных средств по вклад «Сохраняй» в рамках договора банковского обслуживания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от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</w:t>
      </w:r>
      <w:r w:rsidRPr="001973AD">
        <w:rPr>
          <w:sz w:val="24"/>
          <w:szCs w:val="24"/>
          <w:highlight w:val="white"/>
        </w:rPr>
        <w:t>года.</w:t>
      </w:r>
    </w:p>
    <w:p w14:paraId="09925EA7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Договор банковского обслуживания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от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года истцу для ознакомления не предоставлялся, с его содержанием истец не знакомился и. его не подписывал.</w:t>
      </w:r>
    </w:p>
    <w:p w14:paraId="4F45F19A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И</w:t>
      </w:r>
      <w:r w:rsidRPr="001973AD">
        <w:rPr>
          <w:sz w:val="24"/>
          <w:szCs w:val="24"/>
          <w:highlight w:val="white"/>
        </w:rPr>
        <w:t>з текста подписанных истцом условий следует, что «Настоящие «Условия по размещению денежных средств во вклад»,..., и «Правила размещения вкладов в Л АО «Сбербанк России», являющиеся Приложением к «Условиям банковского обслуживания физических лиц ОАО «Сберб</w:t>
      </w:r>
      <w:r w:rsidRPr="001973AD">
        <w:rPr>
          <w:sz w:val="24"/>
          <w:szCs w:val="24"/>
          <w:highlight w:val="white"/>
        </w:rPr>
        <w:t>анк России», в совокупности являются заключенным между вкладчиком и банком договором банковского вклада. К вкладу применяются «Правила размещения вкладов в ОАО «Сбербанк России», являющиеся Приложением к «Условиям банковского обслуживания физических лиц ОА</w:t>
      </w:r>
      <w:r w:rsidRPr="001973AD">
        <w:rPr>
          <w:sz w:val="24"/>
          <w:szCs w:val="24"/>
          <w:highlight w:val="white"/>
        </w:rPr>
        <w:t>О «Сбербанк России». Вкладчик ознакомлен и согласен с правилами».</w:t>
      </w:r>
    </w:p>
    <w:p w14:paraId="49527EFB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Фактически банком было предложено истцу заключить договор присоединения не разъяснив, будучи стороной, определяющей условия сделки, суть подобной сделки и права истца при ее заключении.</w:t>
      </w:r>
    </w:p>
    <w:p w14:paraId="7CDE3B72" w14:textId="77777777" w:rsidR="00B44792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Исте</w:t>
      </w:r>
      <w:r w:rsidRPr="001973AD">
        <w:rPr>
          <w:sz w:val="24"/>
          <w:szCs w:val="24"/>
          <w:highlight w:val="white"/>
        </w:rPr>
        <w:t xml:space="preserve">ц с указанными документами не знакомился, об их содержании его известно не было и банк истцу информацию об особенностях и возможностях работы именно с банковским вкладом не сообщил. </w:t>
      </w:r>
    </w:p>
    <w:p w14:paraId="749B8391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года по запросу истца им была получена выписка по вкладу «Сохраняй», це</w:t>
      </w:r>
      <w:r w:rsidRPr="001973AD">
        <w:rPr>
          <w:sz w:val="24"/>
          <w:szCs w:val="24"/>
          <w:highlight w:val="white"/>
        </w:rPr>
        <w:t xml:space="preserve">лью которого было получение дохода в виде процентов на сумму размещенных денежных средств их которой истец узнал об отсутствии на его счету всех внесенных денежных средств с начисленными процентами, а именно </w:t>
      </w:r>
      <w:r>
        <w:rPr>
          <w:sz w:val="24"/>
          <w:szCs w:val="24"/>
          <w:highlight w:val="white"/>
        </w:rPr>
        <w:t>*</w:t>
      </w:r>
    </w:p>
    <w:p w14:paraId="0D1334F6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На письменное обращение истца в банк получен о</w:t>
      </w:r>
      <w:r w:rsidRPr="001973AD">
        <w:rPr>
          <w:sz w:val="24"/>
          <w:szCs w:val="24"/>
          <w:highlight w:val="white"/>
        </w:rPr>
        <w:t xml:space="preserve">твет о невозможности возмещения денежных средств и о возможности ознакомления с полным текстом договора банковского обслуживания и условиями предоставления услуги «Сбербанк ОнЛ@йн» на официальном сайте банка. </w:t>
      </w:r>
    </w:p>
    <w:p w14:paraId="34E36868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Истец указывает, что в подписанных  </w:t>
      </w:r>
      <w:r w:rsidRPr="001973AD">
        <w:rPr>
          <w:sz w:val="24"/>
          <w:szCs w:val="24"/>
          <w:highlight w:val="white"/>
        </w:rPr>
        <w:t>ранее «Усл</w:t>
      </w:r>
      <w:r w:rsidRPr="001973AD">
        <w:rPr>
          <w:sz w:val="24"/>
          <w:szCs w:val="24"/>
          <w:highlight w:val="white"/>
        </w:rPr>
        <w:t>овиях» какого-либо упоминания об «Условиях предоставления услуги «Сбербанк ОнЛ@йн» и вообще о ее наличии сведений не содержалось и истец о ней не уведомлялся.</w:t>
      </w:r>
    </w:p>
    <w:p w14:paraId="1329299D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lastRenderedPageBreak/>
        <w:t>Ответчиком не была предоставлена истцу информация о присущем данному виду услуг недостатке, котор</w:t>
      </w:r>
      <w:r w:rsidRPr="001973AD">
        <w:rPr>
          <w:sz w:val="24"/>
          <w:szCs w:val="24"/>
          <w:highlight w:val="white"/>
        </w:rPr>
        <w:t>ый состоит в возможности неправомерного получения персональных данных в том числе для использования путем удаленного доступа незаконно полученной информации о персональных данных которые предоставляют правонарушителям все возможности операций со счетами вк</w:t>
      </w:r>
      <w:r w:rsidRPr="001973AD">
        <w:rPr>
          <w:sz w:val="24"/>
          <w:szCs w:val="24"/>
          <w:highlight w:val="white"/>
        </w:rPr>
        <w:t>ладчиков.</w:t>
      </w:r>
    </w:p>
    <w:p w14:paraId="2D2E189E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В судебном заседании первой инстанции  представители истца Гориш О.А., Сазонов Ю.В., Панков Д.П. на исковых требованиях настаивали, просили удовлетворить в полном объеме.</w:t>
      </w:r>
    </w:p>
    <w:p w14:paraId="5C734229" w14:textId="77777777" w:rsidR="00DA054B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В судебном заседании первой инстанции  представитель ответчика Сергеев С. В</w:t>
      </w:r>
      <w:r w:rsidRPr="001973AD">
        <w:rPr>
          <w:sz w:val="24"/>
          <w:szCs w:val="24"/>
          <w:highlight w:val="white"/>
        </w:rPr>
        <w:t xml:space="preserve">. </w:t>
      </w:r>
      <w:r w:rsidRPr="001973AD">
        <w:rPr>
          <w:sz w:val="24"/>
          <w:szCs w:val="24"/>
          <w:highlight w:val="white"/>
        </w:rPr>
        <w:t xml:space="preserve">возражал против удовлетворения исковых требований, </w:t>
      </w:r>
      <w:r w:rsidRPr="001973AD">
        <w:rPr>
          <w:sz w:val="24"/>
          <w:szCs w:val="24"/>
          <w:highlight w:val="white"/>
        </w:rPr>
        <w:t xml:space="preserve"> </w:t>
      </w:r>
      <w:r w:rsidRPr="001973AD">
        <w:rPr>
          <w:sz w:val="24"/>
          <w:szCs w:val="24"/>
          <w:highlight w:val="white"/>
        </w:rPr>
        <w:t xml:space="preserve">по доводам, изложенным в возражениях на  иск. </w:t>
      </w:r>
    </w:p>
    <w:p w14:paraId="4CBDF3CA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Судом постановлено приведенное выше решение, об </w:t>
      </w:r>
      <w:r w:rsidRPr="001973AD">
        <w:rPr>
          <w:sz w:val="24"/>
          <w:szCs w:val="24"/>
          <w:highlight w:val="white"/>
        </w:rPr>
        <w:t xml:space="preserve">отмене которого просит истец по доводам апелляционной жалобы. </w:t>
      </w:r>
    </w:p>
    <w:p w14:paraId="2E3E5E81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На заседание судебной коллегии истец   Гориш</w:t>
      </w:r>
      <w:r w:rsidRPr="001973AD">
        <w:rPr>
          <w:sz w:val="24"/>
          <w:szCs w:val="24"/>
          <w:highlight w:val="white"/>
        </w:rPr>
        <w:t xml:space="preserve"> А.В. не явился,  о времени и месте рассмотрения апелляционной жалобы извещался, ходатайств об отложении судебного разбирательства не поступало.</w:t>
      </w:r>
    </w:p>
    <w:p w14:paraId="29BC57B3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 В соответствии со ст. ст. 167, 327 ГПК РФ судебная коллегия считает возможным рассмотреть жалобу в отсутствие </w:t>
      </w:r>
      <w:r w:rsidRPr="001973AD">
        <w:rPr>
          <w:sz w:val="24"/>
          <w:szCs w:val="24"/>
          <w:highlight w:val="white"/>
        </w:rPr>
        <w:t>не явившихся лиц, участвующих в деле.</w:t>
      </w:r>
    </w:p>
    <w:p w14:paraId="397D49E4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Проверив материалы дела по правилам </w:t>
      </w:r>
      <w:hyperlink r:id="rId7" w:history="1">
        <w:r w:rsidRPr="001973AD">
          <w:rPr>
            <w:rStyle w:val="a3"/>
            <w:sz w:val="24"/>
            <w:szCs w:val="24"/>
            <w:highlight w:val="white"/>
            <w:u w:val="none"/>
          </w:rPr>
          <w:t>ст. 327.1</w:t>
        </w:r>
      </w:hyperlink>
      <w:r w:rsidRPr="001973AD">
        <w:rPr>
          <w:sz w:val="24"/>
          <w:szCs w:val="24"/>
          <w:highlight w:val="white"/>
        </w:rPr>
        <w:t xml:space="preserve"> ГПК РФ, выслушав  объяснения представителя ответч</w:t>
      </w:r>
      <w:r w:rsidRPr="001973AD">
        <w:rPr>
          <w:sz w:val="24"/>
          <w:szCs w:val="24"/>
          <w:highlight w:val="white"/>
        </w:rPr>
        <w:t>ика  Бакаловой М.С.,   обсудив доводы апелляционной жалобы, судебная коллегия находит состоявшееся решение суда подлежащим оставлению без изменения по следующим основаниям.</w:t>
      </w:r>
    </w:p>
    <w:p w14:paraId="16887DD5" w14:textId="77777777" w:rsidR="00293675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В соответствии с положениями </w:t>
      </w:r>
      <w:hyperlink r:id="rId8" w:history="1">
        <w:r w:rsidRPr="001973AD">
          <w:rPr>
            <w:rStyle w:val="a3"/>
            <w:sz w:val="24"/>
            <w:szCs w:val="24"/>
            <w:highlight w:val="white"/>
            <w:u w:val="none"/>
          </w:rPr>
          <w:t>ст. 834</w:t>
        </w:r>
      </w:hyperlink>
      <w:r w:rsidRPr="001973AD">
        <w:rPr>
          <w:sz w:val="24"/>
          <w:szCs w:val="24"/>
          <w:highlight w:val="white"/>
        </w:rPr>
        <w:t xml:space="preserve"> ГК РФ по договору банковского вклада (депозита) одна сторона (банк), принявшая поступившую от другой стороны (вкладчика) или поступившую для нее денежную сумму (вклад), обяз</w:t>
      </w:r>
      <w:r w:rsidRPr="001973AD">
        <w:rPr>
          <w:sz w:val="24"/>
          <w:szCs w:val="24"/>
          <w:highlight w:val="white"/>
        </w:rPr>
        <w:t xml:space="preserve">уется возвратить сумму вклада и выплатить проценты на нее на условиях и в порядке, предусмотренных договором. Договор банковского вклада, в котором вкладчиком является гражданин, признается публичным договором </w:t>
      </w:r>
      <w:hyperlink r:id="rId9" w:history="1">
        <w:r w:rsidRPr="001973AD">
          <w:rPr>
            <w:rStyle w:val="a3"/>
            <w:sz w:val="24"/>
            <w:szCs w:val="24"/>
            <w:highlight w:val="white"/>
            <w:u w:val="none"/>
          </w:rPr>
          <w:t>(статья 426)</w:t>
        </w:r>
      </w:hyperlink>
      <w:r w:rsidRPr="001973AD">
        <w:rPr>
          <w:sz w:val="24"/>
          <w:szCs w:val="24"/>
          <w:highlight w:val="white"/>
        </w:rPr>
        <w:t>. К отношениям банка и вкладчика по счету, на который внесен вклад, применяются правила о договоре банковского счета (глава 45), если иное не предусмотрено прави</w:t>
      </w:r>
      <w:r w:rsidRPr="001973AD">
        <w:rPr>
          <w:sz w:val="24"/>
          <w:szCs w:val="24"/>
          <w:highlight w:val="white"/>
        </w:rPr>
        <w:t>лами настоящей главы или не вытекает из существа договора банковского вклада.</w:t>
      </w:r>
    </w:p>
    <w:p w14:paraId="0D500B3B" w14:textId="77777777" w:rsidR="004716CD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В соответствии со ст. 428 ГК РФ, </w:t>
      </w:r>
      <w:r w:rsidRPr="001973AD">
        <w:rPr>
          <w:sz w:val="24"/>
          <w:szCs w:val="24"/>
          <w:highlight w:val="white"/>
        </w:rPr>
        <w:t>договором присоединения признается договор, условия которого определены одной из сторон в формулярах или иных стандартных формах и могли быть при</w:t>
      </w:r>
      <w:r w:rsidRPr="001973AD">
        <w:rPr>
          <w:sz w:val="24"/>
          <w:szCs w:val="24"/>
          <w:highlight w:val="white"/>
        </w:rPr>
        <w:t>няты другой стороной не иначе как путем присоединения к предложенному договору в целом.</w:t>
      </w:r>
    </w:p>
    <w:p w14:paraId="52CB8869" w14:textId="77777777" w:rsidR="004716CD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Присоединившаяся к договору сторона вправе потребовать расторжения или изменения договора, если договор присоединения хотя и не противоречит закону и иным правовым акта</w:t>
      </w:r>
      <w:r w:rsidRPr="001973AD">
        <w:rPr>
          <w:sz w:val="24"/>
          <w:szCs w:val="24"/>
          <w:highlight w:val="white"/>
        </w:rPr>
        <w:t xml:space="preserve">м, но лишает эту сторону прав, обычно предоставляемых по договорам такого вида, исключает или ограничивает ответственность другой стороны за нарушение обязательств либо содержит другие явно обременительные для присоединившейся стороны условия, которые она </w:t>
      </w:r>
      <w:r w:rsidRPr="001973AD">
        <w:rPr>
          <w:sz w:val="24"/>
          <w:szCs w:val="24"/>
          <w:highlight w:val="white"/>
        </w:rPr>
        <w:t>исходя из своих разумно понимаемых интересов не приняла бы при наличии у нее возможности участвовать в определении условий договора.</w:t>
      </w:r>
    </w:p>
    <w:p w14:paraId="653D03E7" w14:textId="77777777" w:rsidR="004716CD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В соответствии со ст. 845 ГК РФ, по договору банковского счета банк обязуется принимать и зачислять поступающие на счет, от</w:t>
      </w:r>
      <w:r w:rsidRPr="001973AD">
        <w:rPr>
          <w:sz w:val="24"/>
          <w:szCs w:val="24"/>
          <w:highlight w:val="white"/>
        </w:rPr>
        <w:t>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70CB9400" w14:textId="77777777" w:rsidR="004716CD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Банк может использовать имеющиеся на счете денежные средства, гарантируя право </w:t>
      </w:r>
      <w:r w:rsidRPr="001973AD">
        <w:rPr>
          <w:sz w:val="24"/>
          <w:szCs w:val="24"/>
          <w:highlight w:val="white"/>
        </w:rPr>
        <w:t>клиента беспрепятственно распоряжаться этими средствами.</w:t>
      </w:r>
    </w:p>
    <w:p w14:paraId="4CF9B118" w14:textId="77777777" w:rsidR="004716CD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</w:t>
      </w:r>
      <w:r w:rsidRPr="001973AD">
        <w:rPr>
          <w:sz w:val="24"/>
          <w:szCs w:val="24"/>
          <w:highlight w:val="white"/>
        </w:rPr>
        <w:t>аспоряжаться денежными средствами по своему усмотрению.</w:t>
      </w:r>
    </w:p>
    <w:p w14:paraId="220BD18B" w14:textId="77777777" w:rsidR="005D571C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lastRenderedPageBreak/>
        <w:t xml:space="preserve">В соответствии со </w:t>
      </w:r>
      <w:hyperlink r:id="rId10" w:history="1">
        <w:r w:rsidRPr="001973AD">
          <w:rPr>
            <w:rStyle w:val="a3"/>
            <w:sz w:val="24"/>
            <w:szCs w:val="24"/>
            <w:highlight w:val="white"/>
            <w:u w:val="none"/>
          </w:rPr>
          <w:t>ст. ст. 309</w:t>
        </w:r>
      </w:hyperlink>
      <w:r w:rsidRPr="001973AD">
        <w:rPr>
          <w:sz w:val="24"/>
          <w:szCs w:val="24"/>
          <w:highlight w:val="white"/>
        </w:rPr>
        <w:t xml:space="preserve">, </w:t>
      </w:r>
      <w:hyperlink r:id="rId11" w:history="1">
        <w:r w:rsidRPr="001973AD">
          <w:rPr>
            <w:rStyle w:val="a3"/>
            <w:sz w:val="24"/>
            <w:szCs w:val="24"/>
            <w:highlight w:val="white"/>
            <w:u w:val="none"/>
          </w:rPr>
          <w:t>310</w:t>
        </w:r>
      </w:hyperlink>
      <w:r w:rsidRPr="001973AD">
        <w:rPr>
          <w:sz w:val="24"/>
          <w:szCs w:val="24"/>
          <w:highlight w:val="white"/>
        </w:rPr>
        <w:t xml:space="preserve">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</w:t>
      </w:r>
      <w:r w:rsidRPr="001973AD">
        <w:rPr>
          <w:sz w:val="24"/>
          <w:szCs w:val="24"/>
          <w:highlight w:val="white"/>
        </w:rPr>
        <w:t xml:space="preserve">х условий и требований - в соответствии с </w:t>
      </w:r>
      <w:hyperlink r:id="rId12" w:history="1">
        <w:r w:rsidRPr="001973AD">
          <w:rPr>
            <w:rStyle w:val="a3"/>
            <w:sz w:val="24"/>
            <w:szCs w:val="24"/>
            <w:highlight w:val="white"/>
            <w:u w:val="none"/>
          </w:rPr>
          <w:t>обычаями</w:t>
        </w:r>
      </w:hyperlink>
      <w:r w:rsidRPr="001973AD">
        <w:rPr>
          <w:sz w:val="24"/>
          <w:szCs w:val="24"/>
          <w:highlight w:val="white"/>
        </w:rPr>
        <w:t xml:space="preserve"> или иными обычно предъявляемыми требованиями.</w:t>
      </w:r>
    </w:p>
    <w:p w14:paraId="3A728395" w14:textId="77777777" w:rsidR="005D571C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Односторонний отказ от исполнен</w:t>
      </w:r>
      <w:r w:rsidRPr="001973AD">
        <w:rPr>
          <w:sz w:val="24"/>
          <w:szCs w:val="24"/>
          <w:highlight w:val="white"/>
        </w:rPr>
        <w:t>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 w14:paraId="562ECCE9" w14:textId="77777777" w:rsidR="00BE220A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Судом первой инстанции установлен</w:t>
      </w:r>
      <w:r>
        <w:rPr>
          <w:sz w:val="24"/>
          <w:szCs w:val="24"/>
          <w:highlight w:val="white"/>
        </w:rPr>
        <w:t xml:space="preserve">ы </w:t>
      </w:r>
      <w:r w:rsidRPr="001973AD">
        <w:rPr>
          <w:sz w:val="24"/>
          <w:szCs w:val="24"/>
          <w:highlight w:val="white"/>
        </w:rPr>
        <w:t>следующ</w:t>
      </w:r>
      <w:r>
        <w:rPr>
          <w:sz w:val="24"/>
          <w:szCs w:val="24"/>
          <w:highlight w:val="white"/>
        </w:rPr>
        <w:t xml:space="preserve">ие </w:t>
      </w:r>
      <w:r>
        <w:rPr>
          <w:sz w:val="24"/>
          <w:szCs w:val="24"/>
          <w:highlight w:val="white"/>
        </w:rPr>
        <w:t xml:space="preserve"> обстоятельства. </w:t>
      </w:r>
      <w:r w:rsidRPr="001973AD">
        <w:rPr>
          <w:sz w:val="24"/>
          <w:szCs w:val="24"/>
          <w:highlight w:val="white"/>
        </w:rPr>
        <w:t xml:space="preserve"> </w:t>
      </w:r>
    </w:p>
    <w:p w14:paraId="5C77E20E" w14:textId="77777777" w:rsidR="00BE220A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истцу Гориш А.</w:t>
      </w:r>
      <w:r w:rsidRPr="001973AD">
        <w:rPr>
          <w:sz w:val="24"/>
          <w:szCs w:val="24"/>
          <w:highlight w:val="white"/>
        </w:rPr>
        <w:t xml:space="preserve">В. в ОАО «Сбербанк России» был открыт счет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и выдана карта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,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г. истцу Гориш А.В. в ОАО «Сбербанк России» был открыт счет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и выдана карта № </w:t>
      </w:r>
      <w:r>
        <w:rPr>
          <w:sz w:val="24"/>
          <w:szCs w:val="24"/>
          <w:highlight w:val="white"/>
        </w:rPr>
        <w:t>*</w:t>
      </w:r>
    </w:p>
    <w:p w14:paraId="7E282400" w14:textId="77777777" w:rsidR="00BE220A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между истцом Гориш А.В. и ответчиком ОАО «Сбербанк России» был заключен договор банковского обслуживан</w:t>
      </w:r>
      <w:r w:rsidRPr="001973AD">
        <w:rPr>
          <w:sz w:val="24"/>
          <w:szCs w:val="24"/>
          <w:highlight w:val="white"/>
        </w:rPr>
        <w:t>ия, состоящий из подписанного клиентом заявления на банковское обслуживание, Условий банковского обслуживания физических лиц Сбербанком России ОАО.</w:t>
      </w:r>
    </w:p>
    <w:p w14:paraId="64FA09EF" w14:textId="77777777" w:rsidR="00D4750F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года на имя истца в банке был открыт вклад «Сохраняй»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>, к счетам карт подключена услуга «Мобильный банк</w:t>
      </w:r>
      <w:r w:rsidRPr="001973AD">
        <w:rPr>
          <w:sz w:val="24"/>
          <w:szCs w:val="24"/>
          <w:highlight w:val="white"/>
        </w:rPr>
        <w:t>».</w:t>
      </w:r>
    </w:p>
    <w:p w14:paraId="675C126E" w14:textId="77777777" w:rsidR="00D4750F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В рамках действия договора банковского обслуживания, заключенного между истцом и ответчиком, была предоставлена услуга проведения банковских операций в системе «Сбербанк ОнЛ@йн». Основанием для предоставления данной услуги является подключение клиента к</w:t>
      </w:r>
      <w:r w:rsidRPr="001973AD">
        <w:rPr>
          <w:sz w:val="24"/>
          <w:szCs w:val="24"/>
          <w:highlight w:val="white"/>
        </w:rPr>
        <w:t xml:space="preserve"> системе «Сбербанк ОнЛ@йн» путем получения идентификатора пользователя (через устройство самообслуживания банка с использованием карты и вводом ПИНа или через контактный центр банка) и постоянного пароля (через устройство самообслуживания банка с использов</w:t>
      </w:r>
      <w:r w:rsidRPr="001973AD">
        <w:rPr>
          <w:sz w:val="24"/>
          <w:szCs w:val="24"/>
          <w:highlight w:val="white"/>
        </w:rPr>
        <w:t>анием карты и вводом ПИНа или мобильный телефон клиента, подключенный к системе «Мобильного банка» по картам). Услуги предоставляются при условии положительной идентификации и аутентификации клиента в системе «Сбербанк ОнЛ@йн».</w:t>
      </w:r>
    </w:p>
    <w:p w14:paraId="523BE26C" w14:textId="77777777" w:rsidR="00D4750F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с использованием реквизито</w:t>
      </w:r>
      <w:r w:rsidRPr="001973AD">
        <w:rPr>
          <w:sz w:val="24"/>
          <w:szCs w:val="24"/>
          <w:highlight w:val="white"/>
        </w:rPr>
        <w:t xml:space="preserve">в карты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был запрошен пароль для доступа в систему «Сбербанк ОнЛ@йн», пароль был направлен банком смс-сообщением на номер мобильного телефона, подключенного к. системе «Мобильный банк», «Сбербанк Онлайн. Пароль для подтверждения регистрации -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», после </w:t>
      </w:r>
      <w:r w:rsidRPr="001973AD">
        <w:rPr>
          <w:sz w:val="24"/>
          <w:szCs w:val="24"/>
          <w:highlight w:val="white"/>
        </w:rPr>
        <w:t xml:space="preserve">правильного введения пароля для регистрации в системе СбербанкОнлайн был осуществлен вход в систему, подтвержденный также паролем, направленным банком истцу «Сбербанк Онлайн. Пароль для подтверждения входа в систему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>».</w:t>
      </w:r>
    </w:p>
    <w:p w14:paraId="5E6A289E" w14:textId="77777777" w:rsidR="00D4750F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После подтверждения паролями, был ос</w:t>
      </w:r>
      <w:r w:rsidRPr="001973AD">
        <w:rPr>
          <w:sz w:val="24"/>
          <w:szCs w:val="24"/>
          <w:highlight w:val="white"/>
        </w:rPr>
        <w:t xml:space="preserve">уществлен вход в систему «Сбербанк ОнЛ@йн» и дано распоряжение банку о перечислении денежных </w:t>
      </w:r>
      <w:r>
        <w:rPr>
          <w:sz w:val="24"/>
          <w:szCs w:val="24"/>
          <w:highlight w:val="white"/>
        </w:rPr>
        <w:t>средств со счета карты истца № *</w:t>
      </w:r>
      <w:r w:rsidRPr="001973AD">
        <w:rPr>
          <w:sz w:val="24"/>
          <w:szCs w:val="24"/>
          <w:highlight w:val="white"/>
        </w:rPr>
        <w:t xml:space="preserve"> на счет карты третьего лица. </w:t>
      </w:r>
    </w:p>
    <w:p w14:paraId="29A51801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Для дополнительной аутентификации и идентификации клиента на номера мобильных телефонов, указанных д</w:t>
      </w:r>
      <w:r w:rsidRPr="001973AD">
        <w:rPr>
          <w:sz w:val="24"/>
          <w:szCs w:val="24"/>
          <w:highlight w:val="white"/>
        </w:rPr>
        <w:t>ля смс информирования и подключенных к системе «Мобильный банк», перед совершением операций, банком было направлено СМС-сообщение, содержащее информацию по операции, в том числе код для подтверждения проведения операции: «Сбербанк Онлайн. Внимательно прове</w:t>
      </w:r>
      <w:r w:rsidRPr="001973AD">
        <w:rPr>
          <w:sz w:val="24"/>
          <w:szCs w:val="24"/>
          <w:highlight w:val="white"/>
        </w:rPr>
        <w:t>рьте реквизиты операции: карта списания ****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>, карта зачисления ****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, сумма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RUB. Пароль для подтверждения данной операции -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>».</w:t>
      </w:r>
    </w:p>
    <w:p w14:paraId="3D96B9B4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После введения одноразового пароля в системе «Сбербанк ОнЛ@йн», подтверждающего проведение операции, банком была произведена </w:t>
      </w:r>
      <w:r w:rsidRPr="001973AD">
        <w:rPr>
          <w:sz w:val="24"/>
          <w:szCs w:val="24"/>
          <w:highlight w:val="white"/>
        </w:rPr>
        <w:t>операция списания денежных средств со счета карты истца.</w:t>
      </w:r>
    </w:p>
    <w:p w14:paraId="5A5EF1FA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В дальнейшем были проведены аналогичные операции, подтвержденные одноразовыми паролями, направленными банком смс-сообщениями на номер истца:</w:t>
      </w:r>
    </w:p>
    <w:p w14:paraId="0775D785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с карты истца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на счет карты третьего лица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>, откры</w:t>
      </w:r>
      <w:r w:rsidRPr="001973AD">
        <w:rPr>
          <w:sz w:val="24"/>
          <w:szCs w:val="24"/>
          <w:highlight w:val="white"/>
        </w:rPr>
        <w:t xml:space="preserve">той на имя Ларукова И.И. была проведена операция списания на сумму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руб.</w:t>
      </w:r>
    </w:p>
    <w:p w14:paraId="4ED9B8AC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операция зачисления с вклада истца «Сохраняй»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на счет карты истца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суммы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руб.</w:t>
      </w:r>
    </w:p>
    <w:p w14:paraId="118E7089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с карты истца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на счет карты третьего лица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>, открытой на имя Ситникова Д.В. была пров</w:t>
      </w:r>
      <w:r w:rsidRPr="001973AD">
        <w:rPr>
          <w:sz w:val="24"/>
          <w:szCs w:val="24"/>
          <w:highlight w:val="white"/>
        </w:rPr>
        <w:t xml:space="preserve">едена операция списания на сумму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руб.</w:t>
      </w:r>
    </w:p>
    <w:p w14:paraId="207FE747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с карты истца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на счет карты третьего лица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, открытой на имя Илюхина А.В. была проведена операция списания на сумму </w:t>
      </w:r>
      <w:r>
        <w:rPr>
          <w:sz w:val="24"/>
          <w:szCs w:val="24"/>
          <w:highlight w:val="white"/>
        </w:rPr>
        <w:t>*</w:t>
      </w:r>
    </w:p>
    <w:p w14:paraId="65D84869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операция зачисления с карты истца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на счет карты истца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суммы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руб.</w:t>
      </w:r>
    </w:p>
    <w:p w14:paraId="355ED822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>. с карты ист</w:t>
      </w:r>
      <w:r w:rsidRPr="001973AD">
        <w:rPr>
          <w:sz w:val="24"/>
          <w:szCs w:val="24"/>
          <w:highlight w:val="white"/>
        </w:rPr>
        <w:t xml:space="preserve">ца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на счет карты третьего лица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, открытой на имя Ситникова Д.В. была проведена операция списания на сумму </w:t>
      </w:r>
      <w:r>
        <w:rPr>
          <w:sz w:val="24"/>
          <w:szCs w:val="24"/>
          <w:highlight w:val="white"/>
        </w:rPr>
        <w:t>*</w:t>
      </w:r>
    </w:p>
    <w:p w14:paraId="12967116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с карты истца № </w:t>
      </w:r>
      <w:r>
        <w:rPr>
          <w:sz w:val="24"/>
          <w:szCs w:val="24"/>
          <w:highlight w:val="white"/>
        </w:rPr>
        <w:t>* на счет карты третьего лица № *</w:t>
      </w:r>
      <w:r w:rsidRPr="001973AD">
        <w:rPr>
          <w:sz w:val="24"/>
          <w:szCs w:val="24"/>
          <w:highlight w:val="white"/>
        </w:rPr>
        <w:t xml:space="preserve">, открытой на имя Закотенко О.И. была проведена операция списания на сумму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руб., что под</w:t>
      </w:r>
      <w:r w:rsidRPr="001973AD">
        <w:rPr>
          <w:sz w:val="24"/>
          <w:szCs w:val="24"/>
          <w:highlight w:val="white"/>
        </w:rPr>
        <w:t>тверждено выписками из списка операций.</w:t>
      </w:r>
    </w:p>
    <w:p w14:paraId="307D1F93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Согласно п. 1.10 действие договора распространяется на счет карт, открытые как до, так и после заключения договора, а также на вклады и т.д. Действие договора в части предоставления услуги проведения операций через у</w:t>
      </w:r>
      <w:r w:rsidRPr="001973AD">
        <w:rPr>
          <w:sz w:val="24"/>
          <w:szCs w:val="24"/>
          <w:highlight w:val="white"/>
        </w:rPr>
        <w:t>даленные каналы обслуживания распространяется на вклады и иные счета, открытые клиенту в рамках отдельных договоров (п. 1.11 договора).</w:t>
      </w:r>
    </w:p>
    <w:p w14:paraId="4B31284A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Согласно п. 1.12 Условий в случае если на момент заключения Договора банковского обслуживания между Клиентом и Банком за</w:t>
      </w:r>
      <w:r w:rsidRPr="001973AD">
        <w:rPr>
          <w:sz w:val="24"/>
          <w:szCs w:val="24"/>
          <w:highlight w:val="white"/>
        </w:rPr>
        <w:t>ключен договор о выпуске и обслуживании дебетовых банковских карт, то с даты заключения Договора банковского обслуживания утрачивает силу соответствующий договор о выпуске и обслуживании банковских карт.</w:t>
      </w:r>
    </w:p>
    <w:p w14:paraId="37E36936" w14:textId="77777777" w:rsidR="0045723F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Обязательства Сторон, возникшие до прекращения дейст</w:t>
      </w:r>
      <w:r w:rsidRPr="001973AD">
        <w:rPr>
          <w:sz w:val="24"/>
          <w:szCs w:val="24"/>
          <w:highlight w:val="white"/>
        </w:rPr>
        <w:t>вия указанного договора о</w:t>
      </w:r>
      <w:r w:rsidRPr="001973AD">
        <w:rPr>
          <w:sz w:val="24"/>
          <w:szCs w:val="24"/>
          <w:highlight w:val="white"/>
        </w:rPr>
        <w:br/>
        <w:t>выпуске и обслуживания банковских карт, а также условия указанного договора о</w:t>
      </w:r>
      <w:r w:rsidRPr="001973AD">
        <w:rPr>
          <w:sz w:val="24"/>
          <w:szCs w:val="24"/>
          <w:highlight w:val="white"/>
        </w:rPr>
        <w:br/>
        <w:t>выпуске и обслуживании банковских карт в части установленного Клиенту лимита</w:t>
      </w:r>
      <w:r w:rsidRPr="001973AD">
        <w:rPr>
          <w:sz w:val="24"/>
          <w:szCs w:val="24"/>
          <w:highlight w:val="white"/>
        </w:rPr>
        <w:br/>
        <w:t>овердрафта по Счету Карты регулируются в соответствии с Договором банковско</w:t>
      </w:r>
      <w:r w:rsidRPr="001973AD">
        <w:rPr>
          <w:sz w:val="24"/>
          <w:szCs w:val="24"/>
          <w:highlight w:val="white"/>
        </w:rPr>
        <w:t>го</w:t>
      </w:r>
      <w:r w:rsidRPr="001973AD">
        <w:rPr>
          <w:sz w:val="24"/>
          <w:szCs w:val="24"/>
          <w:highlight w:val="white"/>
        </w:rPr>
        <w:br/>
        <w:t>обслуживания.</w:t>
      </w:r>
      <w:r w:rsidRPr="001973AD">
        <w:rPr>
          <w:sz w:val="24"/>
          <w:szCs w:val="24"/>
          <w:highlight w:val="white"/>
        </w:rPr>
        <w:tab/>
        <w:t>Положения раздела Условий «Предоставление услуг через систему «Сбербанк Онл@йн» и проведение операций в сети интернет» имеют преимущественную силу по отношению к положениям аналогичных разделов других договоров, заключаемых Банком и Клиент</w:t>
      </w:r>
      <w:r w:rsidRPr="001973AD">
        <w:rPr>
          <w:sz w:val="24"/>
          <w:szCs w:val="24"/>
          <w:highlight w:val="white"/>
        </w:rPr>
        <w:t>ом, и регулирующих в том числе предоставление услуг через систему «Сбербанк ОнЛ@йн» (п.3.1 приложения 4 к Условиям).</w:t>
      </w:r>
    </w:p>
    <w:p w14:paraId="2A481DA7" w14:textId="77777777" w:rsidR="00E30618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Согласно п. 1.2 Приложения 4 к Условиям клиенту предоставляется возможность проведения банковских операций через удаленные каналы обслужива</w:t>
      </w:r>
      <w:r w:rsidRPr="001973AD">
        <w:rPr>
          <w:sz w:val="24"/>
          <w:szCs w:val="24"/>
          <w:highlight w:val="white"/>
        </w:rPr>
        <w:t>ния, в частности систему «Сбербанк ОнЛ@йн».</w:t>
      </w:r>
    </w:p>
    <w:p w14:paraId="2BA64BC3" w14:textId="77777777" w:rsidR="00E30618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Основанием для предоставления услуг проведения банковских операций в системе «Сбербанк ОнЛ@йн» является подключение Клиента к системе «Сбербанк ОнЛ@йн» путем получения Идентификатора пользователя (через устройств</w:t>
      </w:r>
      <w:r w:rsidRPr="001973AD">
        <w:rPr>
          <w:sz w:val="24"/>
          <w:szCs w:val="24"/>
          <w:highlight w:val="white"/>
        </w:rPr>
        <w:t>о самообслуживания Банка с использованием Карты и вводом ПИНа или через Контактный Центр Банка) и постоянного пароля (через устройство самообслуживания Банка с использованием Карты</w:t>
      </w:r>
      <w:r>
        <w:rPr>
          <w:sz w:val="24"/>
          <w:szCs w:val="24"/>
          <w:highlight w:val="white"/>
        </w:rPr>
        <w:t xml:space="preserve"> </w:t>
      </w:r>
      <w:r w:rsidRPr="001973AD">
        <w:rPr>
          <w:sz w:val="24"/>
          <w:szCs w:val="24"/>
          <w:highlight w:val="white"/>
        </w:rPr>
        <w:t>и вводом ПИНа шли мобильный телефон Клиента, подключенный к системе «Мобиль</w:t>
      </w:r>
      <w:r w:rsidRPr="001973AD">
        <w:rPr>
          <w:sz w:val="24"/>
          <w:szCs w:val="24"/>
          <w:highlight w:val="white"/>
        </w:rPr>
        <w:t>ного банка» по Картам). Услуги предоставляются при условии положительной идентификации и аутентификации Клиента в системе «Сбербанк ОнЛ@йн» (п.п. 1.3, 3.7 Приложения 4 к Условиям).</w:t>
      </w:r>
    </w:p>
    <w:p w14:paraId="25B5453E" w14:textId="77777777" w:rsidR="00E30618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Со</w:t>
      </w:r>
      <w:r>
        <w:rPr>
          <w:sz w:val="24"/>
          <w:szCs w:val="24"/>
          <w:highlight w:val="white"/>
        </w:rPr>
        <w:t xml:space="preserve">гласно Условиям держатель карты </w:t>
      </w:r>
      <w:r w:rsidRPr="001973AD">
        <w:rPr>
          <w:sz w:val="24"/>
          <w:szCs w:val="24"/>
          <w:highlight w:val="white"/>
        </w:rPr>
        <w:t>обязуется хранить Идентификатор Пользоват</w:t>
      </w:r>
      <w:r w:rsidRPr="001973AD">
        <w:rPr>
          <w:sz w:val="24"/>
          <w:szCs w:val="24"/>
          <w:highlight w:val="white"/>
        </w:rPr>
        <w:t>еля, постоянный  пароль и одноразовые пароли в недоступном для третьих лиц месте (п. 3.20.1 Приложения 4 к Условиям), согласен с получением услуг посредством системы «Сбербанк Онлайн» через сеть Интернет, осознавая, что сеть Интернет не является безопасным</w:t>
      </w:r>
      <w:r w:rsidRPr="001973AD">
        <w:rPr>
          <w:sz w:val="24"/>
          <w:szCs w:val="24"/>
          <w:highlight w:val="white"/>
        </w:rPr>
        <w:t xml:space="preserve"> каналом связи, и 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 3.10 Приложения 4 к Условиям), согласен, что постоянный пароль и одноразовый </w:t>
      </w:r>
      <w:r w:rsidRPr="001973AD">
        <w:rPr>
          <w:sz w:val="24"/>
          <w:szCs w:val="24"/>
          <w:highlight w:val="white"/>
        </w:rPr>
        <w:t>пароли являются аналогом собственноручной подписи. Электронные документы, подтвержденные постоянным и\или одноразовым паролем, признаются Банком и Клиентом равнозначными документами на бумажном носителе и могут служить доказательством в суде. Указанные док</w:t>
      </w:r>
      <w:r w:rsidRPr="001973AD">
        <w:rPr>
          <w:sz w:val="24"/>
          <w:szCs w:val="24"/>
          <w:highlight w:val="white"/>
        </w:rPr>
        <w:t>ументы являются основанием для проведения Банком операций и могут подтверждать факт заключения, исполнения, расторжения договоров (сделок) и совершения иных действий (сделок). Сделки, заключенные путем передачи в Банк распоряжений Клиента, подтвержденных с</w:t>
      </w:r>
      <w:r w:rsidRPr="001973AD">
        <w:rPr>
          <w:sz w:val="24"/>
          <w:szCs w:val="24"/>
          <w:highlight w:val="white"/>
        </w:rPr>
        <w:t xml:space="preserve"> применением средств идентификации и аутентификации Клиента, предусмотренных ДБО, удовлетворяют требованиям совершения сделок в. простой письменной форме в случаях, предусмотренных законодательством, и влекут последствия, аналогичные последствиям совершени</w:t>
      </w:r>
      <w:r w:rsidRPr="001973AD">
        <w:rPr>
          <w:sz w:val="24"/>
          <w:szCs w:val="24"/>
          <w:highlight w:val="white"/>
        </w:rPr>
        <w:t>я сделок, совершенных при физическом присутствии лица, совершающего сделку.</w:t>
      </w:r>
    </w:p>
    <w:p w14:paraId="362E275A" w14:textId="77777777" w:rsidR="00E30618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</w:t>
      </w:r>
      <w:r w:rsidRPr="001973AD">
        <w:rPr>
          <w:sz w:val="24"/>
          <w:szCs w:val="24"/>
          <w:highlight w:val="white"/>
        </w:rPr>
        <w:t>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ОнЛ@йн» невозможно.</w:t>
      </w:r>
    </w:p>
    <w:p w14:paraId="23A87AA5" w14:textId="77777777" w:rsidR="00E30618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В соответствии с условиями банковского обслуживания физ</w:t>
      </w:r>
      <w:r w:rsidRPr="001973AD">
        <w:rPr>
          <w:sz w:val="24"/>
          <w:szCs w:val="24"/>
          <w:highlight w:val="white"/>
        </w:rPr>
        <w:t>ических лиц ОАВО «Сбербанк России» на держателя карты возложена обязанность по сохранению сведений о ПИН-коде карты, ее реквизитов, а также обязанность по предотвращению утраты, повреждения, хищения карты, ответственность по операциям, совершенным с исполь</w:t>
      </w:r>
      <w:r w:rsidRPr="001973AD">
        <w:rPr>
          <w:sz w:val="24"/>
          <w:szCs w:val="24"/>
          <w:highlight w:val="white"/>
        </w:rPr>
        <w:t>зованием ПИН-кода; а в случае утраты карты, ПИНа, паролей, либо возникновения у держателя подозрений, что карта, ПИН, пароли могли быть утрачены, держатель должен немедленно сообщить об этом в банк по телефону или подать письменное заявление (п.3.23, 3.23.</w:t>
      </w:r>
      <w:r w:rsidRPr="001973AD">
        <w:rPr>
          <w:sz w:val="24"/>
          <w:szCs w:val="24"/>
          <w:highlight w:val="white"/>
        </w:rPr>
        <w:t>1, 3.23.2 Приложение 1 договора).</w:t>
      </w:r>
    </w:p>
    <w:p w14:paraId="1175C258" w14:textId="77777777" w:rsidR="00503213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Далее установлено, что договор банковского обслуживания заключен между сторонами в офертно-акцептной форме, с момента начала использования Горишем А.В. банковских услуг, ранее своего несогласия с условиями договора Гориш А</w:t>
      </w:r>
      <w:r w:rsidRPr="001973AD">
        <w:rPr>
          <w:sz w:val="24"/>
          <w:szCs w:val="24"/>
          <w:highlight w:val="white"/>
        </w:rPr>
        <w:t>.В. не выражал, длительное время пользовался предоставляемыми банком банковскими услугами,</w:t>
      </w:r>
    </w:p>
    <w:p w14:paraId="6DAD587F" w14:textId="77777777" w:rsidR="00503213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При таких обстоятельствах, суд пришел к правильному выводу,  о том</w:t>
      </w:r>
      <w:r w:rsidRPr="001973AD">
        <w:rPr>
          <w:sz w:val="24"/>
          <w:szCs w:val="24"/>
          <w:highlight w:val="white"/>
        </w:rPr>
        <w:t xml:space="preserve">, </w:t>
      </w:r>
      <w:r w:rsidRPr="001973AD">
        <w:rPr>
          <w:sz w:val="24"/>
          <w:szCs w:val="24"/>
          <w:highlight w:val="white"/>
        </w:rPr>
        <w:t xml:space="preserve"> что истец был ознакомлен с условиями договора.</w:t>
      </w:r>
    </w:p>
    <w:p w14:paraId="2E28F89F" w14:textId="77777777" w:rsidR="00545A6E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В п.3.19.2 Приложения 4 к Условиям указано, что Б</w:t>
      </w:r>
      <w:r w:rsidRPr="001973AD">
        <w:rPr>
          <w:sz w:val="24"/>
          <w:szCs w:val="24"/>
          <w:highlight w:val="white"/>
        </w:rPr>
        <w:t>анк не несет ответственности за последствия компрометации идентификатора пользователя, постоянного и\или одноразовых паролей Клиента, а также за убытки, понесенные Клиентом в связи с неправомерными действиями третьих лиц. В случаях необоснованного или ошиб</w:t>
      </w:r>
      <w:r w:rsidRPr="001973AD">
        <w:rPr>
          <w:sz w:val="24"/>
          <w:szCs w:val="24"/>
          <w:highlight w:val="white"/>
        </w:rPr>
        <w:t>очного перечисления клиентом средств получателям через систему Сбербанк ОнЛ@йн Клиент самостоятельно урегулирует вопрос возврата средств с их получателями.</w:t>
      </w:r>
    </w:p>
    <w:p w14:paraId="74D6C898" w14:textId="77777777" w:rsidR="00E30618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Первичная информация о блокировке карты поступила в Банк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г., т.е. уже после совершения операций (с</w:t>
      </w:r>
      <w:r w:rsidRPr="001973AD">
        <w:rPr>
          <w:sz w:val="24"/>
          <w:szCs w:val="24"/>
          <w:highlight w:val="white"/>
        </w:rPr>
        <w:t xml:space="preserve">огласно заявлению истца Гориш А.В. о возврате денежных средств на счет № 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>).</w:t>
      </w:r>
    </w:p>
    <w:p w14:paraId="6EDA7171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Разрешая спор, суд руководствовался приведенными нормами закона, и, оценив собранные по делу доказательства, пришел к </w:t>
      </w:r>
      <w:r w:rsidRPr="001973AD">
        <w:rPr>
          <w:sz w:val="24"/>
          <w:szCs w:val="24"/>
          <w:highlight w:val="white"/>
        </w:rPr>
        <w:t xml:space="preserve">обоснованному </w:t>
      </w:r>
      <w:r w:rsidRPr="001973AD">
        <w:rPr>
          <w:sz w:val="24"/>
          <w:szCs w:val="24"/>
          <w:highlight w:val="white"/>
        </w:rPr>
        <w:t xml:space="preserve">выводу о том, что </w:t>
      </w:r>
      <w:r w:rsidRPr="001973AD">
        <w:rPr>
          <w:sz w:val="24"/>
          <w:szCs w:val="24"/>
          <w:highlight w:val="white"/>
        </w:rPr>
        <w:t xml:space="preserve"> истцом вопреки  положениям  </w:t>
      </w:r>
      <w:r w:rsidRPr="001973AD">
        <w:rPr>
          <w:sz w:val="24"/>
          <w:szCs w:val="24"/>
          <w:highlight w:val="white"/>
        </w:rPr>
        <w:t xml:space="preserve"> ст. 56 ГПК РФ не представлено доказательств обращения в Банк с требованием о блокировке карты ранее времени проведения спорных операций, равно как и конструктивных недостатков услуги и недостаточного контроля ответчика за системами дистанционного обслужив</w:t>
      </w:r>
      <w:r w:rsidRPr="001973AD">
        <w:rPr>
          <w:sz w:val="24"/>
          <w:szCs w:val="24"/>
          <w:highlight w:val="white"/>
        </w:rPr>
        <w:t>ания и соответствия проводимых дистанционно операций условиям заключенных договоров, недостоверного информировани</w:t>
      </w:r>
      <w:r w:rsidRPr="001973AD">
        <w:rPr>
          <w:sz w:val="24"/>
          <w:szCs w:val="24"/>
          <w:highlight w:val="white"/>
        </w:rPr>
        <w:t xml:space="preserve">я истца о свойствах этой услуги. </w:t>
      </w:r>
    </w:p>
    <w:p w14:paraId="4D3EF090" w14:textId="77777777" w:rsidR="00E95F74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 </w:t>
      </w:r>
      <w:r w:rsidRPr="001973AD">
        <w:rPr>
          <w:sz w:val="24"/>
          <w:szCs w:val="24"/>
          <w:highlight w:val="white"/>
        </w:rPr>
        <w:t xml:space="preserve">Между тем, в силу ст. 421 ГК РФ, </w:t>
      </w:r>
      <w:r w:rsidRPr="001973AD">
        <w:rPr>
          <w:sz w:val="24"/>
          <w:szCs w:val="24"/>
          <w:highlight w:val="white"/>
        </w:rPr>
        <w:t>граждане и юридические лица свободны в заключении договора.</w:t>
      </w:r>
    </w:p>
    <w:p w14:paraId="029FAF8A" w14:textId="77777777" w:rsidR="00AE7D6D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Кроме того, суд</w:t>
      </w:r>
      <w:r w:rsidRPr="001973AD">
        <w:rPr>
          <w:sz w:val="24"/>
          <w:szCs w:val="24"/>
          <w:highlight w:val="white"/>
        </w:rPr>
        <w:t xml:space="preserve">ебная коллегия полагает возможным отметить, что  условия  заключенного между Банком и Горишем А.В. договора, не являются ничтожными и не признаны недействительными, а </w:t>
      </w:r>
      <w:r>
        <w:rPr>
          <w:sz w:val="24"/>
          <w:szCs w:val="24"/>
          <w:highlight w:val="white"/>
        </w:rPr>
        <w:t xml:space="preserve">потому </w:t>
      </w:r>
      <w:r w:rsidRPr="001973AD">
        <w:rPr>
          <w:sz w:val="24"/>
          <w:szCs w:val="24"/>
          <w:highlight w:val="white"/>
        </w:rPr>
        <w:t xml:space="preserve"> обязательны для сторон договора.</w:t>
      </w:r>
    </w:p>
    <w:p w14:paraId="431DF1D6" w14:textId="77777777" w:rsidR="00111CF2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При указанных обстоятельствах требования истца  </w:t>
      </w:r>
      <w:r w:rsidRPr="001973AD">
        <w:rPr>
          <w:sz w:val="24"/>
          <w:szCs w:val="24"/>
          <w:highlight w:val="white"/>
        </w:rPr>
        <w:t>о  взыскании денежных средств банковского вклада с начисленными процентами, не основаны на законе и обоснованно не удовлетворены судом.</w:t>
      </w:r>
    </w:p>
    <w:p w14:paraId="6ED37B21" w14:textId="77777777" w:rsidR="003D135E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Судебная коллегия согласна с выводами суда первой инстанции, поскольку они  основаны на обстоятельствах дела и нормах ма</w:t>
      </w:r>
      <w:r w:rsidRPr="001973AD">
        <w:rPr>
          <w:sz w:val="24"/>
          <w:szCs w:val="24"/>
          <w:highlight w:val="white"/>
        </w:rPr>
        <w:t>териального права, регулирующих спорные отношения.</w:t>
      </w:r>
    </w:p>
    <w:p w14:paraId="42279068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Доводы апелляционной жалобы фактически повторяют правовую позицию, изложенную </w:t>
      </w:r>
      <w:r w:rsidRPr="001973AD">
        <w:rPr>
          <w:sz w:val="24"/>
          <w:szCs w:val="24"/>
          <w:highlight w:val="white"/>
        </w:rPr>
        <w:t xml:space="preserve">представителями истца </w:t>
      </w:r>
      <w:r w:rsidRPr="001973AD">
        <w:rPr>
          <w:sz w:val="24"/>
          <w:szCs w:val="24"/>
          <w:highlight w:val="white"/>
        </w:rPr>
        <w:t>в ходе рассмотрения дела, котор</w:t>
      </w:r>
      <w:r w:rsidRPr="001973AD">
        <w:rPr>
          <w:sz w:val="24"/>
          <w:szCs w:val="24"/>
          <w:highlight w:val="white"/>
        </w:rPr>
        <w:t>ые  являли</w:t>
      </w:r>
      <w:r w:rsidRPr="001973AD">
        <w:rPr>
          <w:sz w:val="24"/>
          <w:szCs w:val="24"/>
          <w:highlight w:val="white"/>
        </w:rPr>
        <w:t>сь предметом судебного исследования, и котор</w:t>
      </w:r>
      <w:r w:rsidRPr="001973AD">
        <w:rPr>
          <w:sz w:val="24"/>
          <w:szCs w:val="24"/>
          <w:highlight w:val="white"/>
        </w:rPr>
        <w:t xml:space="preserve">ым </w:t>
      </w:r>
      <w:r w:rsidRPr="001973AD">
        <w:rPr>
          <w:sz w:val="24"/>
          <w:szCs w:val="24"/>
          <w:highlight w:val="white"/>
        </w:rPr>
        <w:t xml:space="preserve">дана правильная, </w:t>
      </w:r>
      <w:r w:rsidRPr="001973AD">
        <w:rPr>
          <w:sz w:val="24"/>
          <w:szCs w:val="24"/>
          <w:highlight w:val="white"/>
        </w:rPr>
        <w:t>основанная на всестороннем, полном, непосредственном и объективном исследовании доказательств и фактических обстоятельств дела оценка, не согласиться с которой у судебной коллегии оснований нет.</w:t>
      </w:r>
    </w:p>
    <w:p w14:paraId="02DBC385" w14:textId="77777777" w:rsidR="00943A18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Указанные в ст. 195 ГПК РФ и постановлении Пленума Верховного</w:t>
      </w:r>
      <w:r w:rsidRPr="001973AD">
        <w:rPr>
          <w:sz w:val="24"/>
          <w:szCs w:val="24"/>
          <w:highlight w:val="white"/>
        </w:rPr>
        <w:t xml:space="preserve"> Суда РФ в постановлении от 19 декабря 2003 года № 23 «О судебном решении» предъявляемые к решению требования, судом первой инстанции при вынесении решения суда были соблюдены.</w:t>
      </w:r>
    </w:p>
    <w:p w14:paraId="43E881B5" w14:textId="77777777" w:rsidR="00943A18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Обстоятельств, предусмотренных ст. ст. 330 ГПК РФ в качестве оснований для отме</w:t>
      </w:r>
      <w:r w:rsidRPr="001973AD">
        <w:rPr>
          <w:sz w:val="24"/>
          <w:szCs w:val="24"/>
          <w:highlight w:val="white"/>
        </w:rPr>
        <w:t>ны решения суда, апелляционная жалоба не содержит.</w:t>
      </w:r>
    </w:p>
    <w:p w14:paraId="49C4E608" w14:textId="77777777" w:rsidR="00943A18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На основании изложенного, руководствуясь ст.ст. 328, 329 Гражданского процессуального кодекса Российской Федерации, судебная коллегия</w:t>
      </w:r>
    </w:p>
    <w:p w14:paraId="21B99341" w14:textId="77777777" w:rsidR="00D630C4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6752EFFD" w14:textId="77777777" w:rsidR="00943A18" w:rsidRDefault="007E7241" w:rsidP="00D630C4">
      <w:pPr>
        <w:ind w:firstLine="709"/>
        <w:jc w:val="center"/>
        <w:rPr>
          <w:b/>
          <w:sz w:val="24"/>
          <w:szCs w:val="24"/>
        </w:rPr>
      </w:pPr>
      <w:r w:rsidRPr="001973AD">
        <w:rPr>
          <w:b/>
          <w:sz w:val="24"/>
          <w:szCs w:val="24"/>
          <w:highlight w:val="white"/>
        </w:rPr>
        <w:t>ОПРЕДЕЛИЛА:</w:t>
      </w:r>
    </w:p>
    <w:p w14:paraId="73CDB2C5" w14:textId="77777777" w:rsidR="00D630C4" w:rsidRPr="001973AD" w:rsidRDefault="007E7241" w:rsidP="00D630C4">
      <w:pPr>
        <w:ind w:firstLine="709"/>
        <w:jc w:val="center"/>
        <w:rPr>
          <w:sz w:val="24"/>
          <w:szCs w:val="24"/>
        </w:rPr>
      </w:pPr>
    </w:p>
    <w:p w14:paraId="3550250E" w14:textId="77777777" w:rsidR="00943A18" w:rsidRDefault="007E7241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р</w:t>
      </w:r>
      <w:r w:rsidRPr="001973AD">
        <w:rPr>
          <w:sz w:val="24"/>
          <w:szCs w:val="24"/>
          <w:highlight w:val="white"/>
        </w:rPr>
        <w:t xml:space="preserve">ешение </w:t>
      </w:r>
      <w:r w:rsidRPr="001973AD">
        <w:rPr>
          <w:sz w:val="24"/>
          <w:szCs w:val="24"/>
          <w:highlight w:val="white"/>
        </w:rPr>
        <w:t xml:space="preserve">Никулинского </w:t>
      </w:r>
      <w:r>
        <w:rPr>
          <w:sz w:val="24"/>
          <w:szCs w:val="24"/>
          <w:highlight w:val="white"/>
        </w:rPr>
        <w:t xml:space="preserve"> </w:t>
      </w:r>
      <w:r w:rsidRPr="001973AD">
        <w:rPr>
          <w:sz w:val="24"/>
          <w:szCs w:val="24"/>
          <w:highlight w:val="white"/>
        </w:rPr>
        <w:t>районного суда г. Москвы от 26 янва</w:t>
      </w:r>
      <w:r w:rsidRPr="001973AD">
        <w:rPr>
          <w:sz w:val="24"/>
          <w:szCs w:val="24"/>
          <w:highlight w:val="white"/>
        </w:rPr>
        <w:t xml:space="preserve">ря 2016  </w:t>
      </w:r>
      <w:r w:rsidRPr="001973AD">
        <w:rPr>
          <w:sz w:val="24"/>
          <w:szCs w:val="24"/>
          <w:highlight w:val="white"/>
        </w:rPr>
        <w:t xml:space="preserve">года оставить без изменения, а апелляционную жалобу </w:t>
      </w:r>
      <w:r w:rsidRPr="001973AD">
        <w:rPr>
          <w:sz w:val="24"/>
          <w:szCs w:val="24"/>
          <w:highlight w:val="white"/>
        </w:rPr>
        <w:t>Гориша А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 xml:space="preserve"> В</w:t>
      </w:r>
      <w:r>
        <w:rPr>
          <w:sz w:val="24"/>
          <w:szCs w:val="24"/>
          <w:highlight w:val="white"/>
        </w:rPr>
        <w:t>*</w:t>
      </w:r>
      <w:r w:rsidRPr="001973AD">
        <w:rPr>
          <w:sz w:val="24"/>
          <w:szCs w:val="24"/>
          <w:highlight w:val="white"/>
        </w:rPr>
        <w:t>-   б</w:t>
      </w:r>
      <w:r w:rsidRPr="001973AD">
        <w:rPr>
          <w:sz w:val="24"/>
          <w:szCs w:val="24"/>
          <w:highlight w:val="white"/>
        </w:rPr>
        <w:t>ез удовлетворения.</w:t>
      </w:r>
    </w:p>
    <w:p w14:paraId="5EAA5CBB" w14:textId="77777777" w:rsidR="00FA374C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48B4592F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49CE4574" w14:textId="77777777" w:rsidR="000A60DC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Председательствующий: </w:t>
      </w:r>
    </w:p>
    <w:p w14:paraId="094B43C4" w14:textId="77777777" w:rsidR="00FA374C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27737AC4" w14:textId="77777777" w:rsidR="000A60DC" w:rsidRPr="001973AD" w:rsidRDefault="007E7241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Судьи:</w:t>
      </w:r>
    </w:p>
    <w:p w14:paraId="14396C66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7A004B8F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785FAA3A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091267E3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222829D6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79D9BD52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3140F70A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2452050A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79981244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5A01BF66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p w14:paraId="1018A046" w14:textId="77777777" w:rsidR="00052053" w:rsidRPr="001973AD" w:rsidRDefault="007E7241" w:rsidP="001973AD">
      <w:pPr>
        <w:ind w:firstLine="709"/>
        <w:jc w:val="both"/>
        <w:rPr>
          <w:sz w:val="24"/>
          <w:szCs w:val="24"/>
        </w:rPr>
      </w:pPr>
    </w:p>
    <w:sectPr w:rsidR="00052053" w:rsidRPr="001973AD" w:rsidSect="00293675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61526" w14:textId="77777777" w:rsidR="009F660A" w:rsidRDefault="007E7241">
      <w:r>
        <w:separator/>
      </w:r>
    </w:p>
  </w:endnote>
  <w:endnote w:type="continuationSeparator" w:id="0">
    <w:p w14:paraId="0099032B" w14:textId="77777777" w:rsidR="009F660A" w:rsidRDefault="007E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FDB" w14:textId="77777777" w:rsidR="00A33AB4" w:rsidRDefault="007E7241" w:rsidP="00F86E1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14A24FA2" w14:textId="77777777" w:rsidR="00A33AB4" w:rsidRDefault="007E7241" w:rsidP="001973A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70B46" w14:textId="77777777" w:rsidR="00A33AB4" w:rsidRDefault="007E7241" w:rsidP="00F86E1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  <w:highlight w:val="white"/>
      </w:rPr>
      <w:t>6</w:t>
    </w:r>
    <w:r>
      <w:rPr>
        <w:rStyle w:val="a5"/>
      </w:rPr>
      <w:fldChar w:fldCharType="end"/>
    </w:r>
  </w:p>
  <w:p w14:paraId="13C8645C" w14:textId="77777777" w:rsidR="00A33AB4" w:rsidRDefault="007E7241" w:rsidP="001973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94658" w14:textId="77777777" w:rsidR="009F660A" w:rsidRDefault="007E7241">
      <w:r>
        <w:separator/>
      </w:r>
    </w:p>
  </w:footnote>
  <w:footnote w:type="continuationSeparator" w:id="0">
    <w:p w14:paraId="6FF00872" w14:textId="77777777" w:rsidR="009F660A" w:rsidRDefault="007E7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675"/>
    <w:rsid w:val="007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22F9AE"/>
  <w15:chartTrackingRefBased/>
  <w15:docId w15:val="{75A672CF-EF31-4E2E-9B5C-813704AD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054B"/>
    <w:pPr>
      <w:overflowPunct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293675"/>
    <w:pPr>
      <w:widowControl w:val="0"/>
      <w:autoSpaceDE w:val="0"/>
      <w:autoSpaceDN w:val="0"/>
    </w:pPr>
    <w:rPr>
      <w:sz w:val="24"/>
      <w:lang w:val="ru-RU" w:eastAsia="ru-RU"/>
    </w:rPr>
  </w:style>
  <w:style w:type="paragraph" w:customStyle="1" w:styleId="ConsPlusTitle">
    <w:name w:val="ConsPlusTitle"/>
    <w:rsid w:val="00293675"/>
    <w:pPr>
      <w:widowControl w:val="0"/>
      <w:autoSpaceDE w:val="0"/>
      <w:autoSpaceDN w:val="0"/>
    </w:pPr>
    <w:rPr>
      <w:b/>
      <w:sz w:val="24"/>
      <w:lang w:val="ru-RU" w:eastAsia="ru-RU"/>
    </w:rPr>
  </w:style>
  <w:style w:type="paragraph" w:customStyle="1" w:styleId="ConsPlusTitlePage">
    <w:name w:val="ConsPlusTitlePage"/>
    <w:rsid w:val="00293675"/>
    <w:pPr>
      <w:widowControl w:val="0"/>
      <w:autoSpaceDE w:val="0"/>
      <w:autoSpaceDN w:val="0"/>
    </w:pPr>
    <w:rPr>
      <w:rFonts w:ascii="Tahoma" w:hAnsi="Tahoma" w:cs="Tahoma"/>
      <w:lang w:val="ru-RU" w:eastAsia="ru-RU"/>
    </w:rPr>
  </w:style>
  <w:style w:type="character" w:styleId="a3">
    <w:name w:val="Hyperlink"/>
    <w:rsid w:val="00052053"/>
    <w:rPr>
      <w:color w:val="0000FF"/>
      <w:u w:val="single"/>
    </w:rPr>
  </w:style>
  <w:style w:type="paragraph" w:styleId="a4">
    <w:name w:val="footer"/>
    <w:basedOn w:val="a"/>
    <w:rsid w:val="001973A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9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52D94FFC38900A10B657A2181AE69466CA1C0F1970E28491417359BA3AE3ACF7BA454D2FF2FAEFCP4S3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52D94FFC38900A10B657A2181AE69466CA0C6F6930828491417359BA3AE3ACF7BA454D1FDP2SBN" TargetMode="External"/><Relationship Id="rId12" Type="http://schemas.openxmlformats.org/officeDocument/2006/relationships/hyperlink" Target="consultantplus://offline/ref=6A4801B320CA815648810460EA7A260FF18331D4906C8F0410FD478C221D4799C8AA310011B23A97F768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342A0DA7B5D5E0DF203781B9FAE66BC4F19A53B4EE45CE0D7D1BB4D39CFF72423C9B3AC8BB143C2Ag8S1J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342A0DA7B5D5E0DF203781B9FAE66BC4F19A53B4EE45CE0D7D1BB4D39CFF72423C9B3AC8BB143C2Ag8S3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52D94FFC38900A10B657A2181AE69466CAEC1F5920E28491417359BA3AE3ACF7BA454D2FF2CABFEP4SF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2924</Words>
  <Characters>16673</Characters>
  <Application>Microsoft Office Word</Application>
  <DocSecurity>0</DocSecurity>
  <Lines>138</Lines>
  <Paragraphs>39</Paragraphs>
  <ScaleCrop>false</ScaleCrop>
  <Company/>
  <LinksUpToDate>false</LinksUpToDate>
  <CharactersWithSpaces>19558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