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FF282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bookmarkStart w:id="0" w:name="_GoBack"/>
      <w:bookmarkEnd w:id="0"/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Судья</w:t>
      </w:r>
      <w:r w:rsidR="006D6403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7B1EC4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Ачамович И.В.</w:t>
      </w:r>
      <w:r w:rsidR="00150544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</w:t>
      </w: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                 </w:t>
      </w:r>
      <w:r w:rsidR="00DD60F8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                       </w:t>
      </w:r>
      <w:r w:rsidR="00662691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</w:t>
      </w: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150544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</w:t>
      </w:r>
      <w:r w:rsidR="007B1EC4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   </w:t>
      </w: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Дело № 33-</w:t>
      </w:r>
      <w:r w:rsidR="007B1EC4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3588</w:t>
      </w:r>
      <w:r w:rsidR="006D6403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/1</w:t>
      </w:r>
      <w:r w:rsidR="007B1EC4"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</w:p>
    <w:p w14:paraId="34572D62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F74DF5F" w14:textId="77777777" w:rsidR="00765B0E" w:rsidRPr="0011138A" w:rsidRDefault="00765B0E" w:rsidP="0011138A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АПЕЛЛЯЦИОННОЕ ОПРЕДЕЛЕНИЕ</w:t>
      </w:r>
    </w:p>
    <w:p w14:paraId="11AA0007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41CFCF14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город Москва                                                                  </w:t>
      </w:r>
      <w:r w:rsidR="009D5B56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150544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50544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      </w:t>
      </w:r>
      <w:r w:rsidR="007B1EC4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02 февраля 2016 года 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D60F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</w:p>
    <w:p w14:paraId="5C48177E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4BA25D2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Судебная коллегия по гражданским делам Московского городского суда в составе:</w:t>
      </w:r>
    </w:p>
    <w:p w14:paraId="0449DC75" w14:textId="77777777" w:rsidR="00765B0E" w:rsidRPr="0011138A" w:rsidRDefault="00662691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>редседательствующего судьи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7B1EC4" w:rsidRPr="0011138A">
        <w:rPr>
          <w:rFonts w:ascii="Times New Roman" w:eastAsia="Times New Roman" w:hAnsi="Times New Roman"/>
          <w:sz w:val="24"/>
          <w:szCs w:val="24"/>
          <w:lang w:eastAsia="ru-RU"/>
        </w:rPr>
        <w:t>Ермиловой В.В.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1579A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209B2EF3" w14:textId="77777777" w:rsidR="00765B0E" w:rsidRPr="0011138A" w:rsidRDefault="00662691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765B0E" w:rsidRPr="0011138A">
        <w:rPr>
          <w:rFonts w:ascii="Times New Roman" w:eastAsia="Times New Roman" w:hAnsi="Times New Roman"/>
          <w:sz w:val="24"/>
          <w:szCs w:val="24"/>
          <w:lang w:eastAsia="ru-RU"/>
        </w:rPr>
        <w:t>удей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r w:rsidR="007B1EC4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Новиковой Е.А.,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>Мищенко О.А.,</w:t>
      </w:r>
    </w:p>
    <w:p w14:paraId="7C64EDD3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при секретаре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–</w:t>
      </w:r>
      <w:r w:rsidR="0001579A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625CB" w:rsidRPr="0011138A">
        <w:rPr>
          <w:rFonts w:ascii="Times New Roman" w:eastAsia="Times New Roman" w:hAnsi="Times New Roman"/>
          <w:sz w:val="24"/>
          <w:szCs w:val="24"/>
          <w:lang w:eastAsia="ru-RU"/>
        </w:rPr>
        <w:t>Ишмурзине Д.Р.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01579A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4704B7C8" w14:textId="77777777" w:rsidR="00A807B8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по докладу судьи</w:t>
      </w:r>
      <w:r w:rsidR="00DD60F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Мищенко О.А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9D5B56" w:rsidRPr="0011138A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14:paraId="1B0B3E83" w14:textId="77777777" w:rsidR="00765B0E" w:rsidRPr="0011138A" w:rsidRDefault="00765B0E" w:rsidP="0011138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дело по апелляционной жалобе </w:t>
      </w:r>
      <w:r w:rsidR="009B31E9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представителя </w:t>
      </w:r>
      <w:r w:rsidR="00BF29EF">
        <w:rPr>
          <w:rFonts w:ascii="Times New Roman" w:eastAsia="Times New Roman" w:hAnsi="Times New Roman"/>
          <w:sz w:val="24"/>
          <w:szCs w:val="24"/>
          <w:lang w:eastAsia="ru-RU"/>
        </w:rPr>
        <w:t xml:space="preserve">Колягина </w:t>
      </w:r>
      <w:r w:rsidR="00B625CB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– Козлова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на решение </w:t>
      </w:r>
      <w:r w:rsidR="00A807B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Гагаринского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районного суда города Москвы от </w:t>
      </w:r>
      <w:r w:rsidR="00B625CB" w:rsidRPr="0011138A">
        <w:rPr>
          <w:rFonts w:ascii="Times New Roman" w:eastAsia="Times New Roman" w:hAnsi="Times New Roman"/>
          <w:sz w:val="24"/>
          <w:szCs w:val="24"/>
          <w:lang w:eastAsia="ru-RU"/>
        </w:rPr>
        <w:t>20 ноября 2015 года</w:t>
      </w:r>
      <w:r w:rsidR="00FD23CD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которым постановлено:</w:t>
      </w:r>
    </w:p>
    <w:p w14:paraId="1969ECAD" w14:textId="77777777" w:rsidR="00B625CB" w:rsidRPr="0011138A" w:rsidRDefault="00B625CB" w:rsidP="00651953">
      <w:pPr>
        <w:pStyle w:val="2"/>
        <w:spacing w:after="0" w:line="240" w:lineRule="auto"/>
        <w:ind w:firstLine="567"/>
        <w:jc w:val="both"/>
      </w:pPr>
      <w:r w:rsidRPr="0011138A">
        <w:t>В удовлетворении исковых требований Колягина к ПАО «Сбербанк России» о взыскании убытков, процентов за пользование чужими денежными средствами, штрафа, компенсации морального вреда - отказать.</w:t>
      </w:r>
    </w:p>
    <w:p w14:paraId="0FA96E76" w14:textId="77777777" w:rsidR="00B625CB" w:rsidRPr="0011138A" w:rsidRDefault="00B625CB" w:rsidP="0065195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1FF4E86" w14:textId="77777777" w:rsidR="00765B0E" w:rsidRPr="0011138A" w:rsidRDefault="00765B0E" w:rsidP="00651953">
      <w:pPr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УСТАНОВИЛА:</w:t>
      </w:r>
    </w:p>
    <w:p w14:paraId="6A746A94" w14:textId="77777777" w:rsidR="00765B0E" w:rsidRPr="0011138A" w:rsidRDefault="00765B0E" w:rsidP="0065195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F29B25E" w14:textId="77777777" w:rsidR="004F62EF" w:rsidRPr="0011138A" w:rsidRDefault="004F62EF" w:rsidP="00651953">
      <w:pPr>
        <w:pStyle w:val="2"/>
        <w:spacing w:after="0" w:line="240" w:lineRule="auto"/>
        <w:ind w:firstLine="567"/>
        <w:jc w:val="both"/>
      </w:pPr>
      <w:r w:rsidRPr="0011138A">
        <w:t xml:space="preserve">Истец Колягин обратился в суд с иском к ПАО «Сбербанк России» о взыскании убытков, штрафа, компенсации морального вреда, указывая, что  с 10.05.2012 года, на основании договора № </w:t>
      </w:r>
      <w:r w:rsidR="00BF29EF">
        <w:t>***</w:t>
      </w:r>
      <w:r w:rsidRPr="0011138A">
        <w:t xml:space="preserve"> является клиентом ОАО «Сбербанк России». В обеспечении указанного договора Колягину в отделении 9038/01164 открыт лицевой счет № </w:t>
      </w:r>
      <w:r w:rsidR="00BF29EF">
        <w:t>***</w:t>
      </w:r>
      <w:r w:rsidRPr="0011138A">
        <w:t xml:space="preserve"> по вкладу денежных средств в долларах США. В период с 10.05.2012 года по 28.09.2013 года истцом осуществлялись взносы и получение денежных средств по счету. С 28.09.2013 года по 16.04.2014 года истец никаких операций со счетом не производил. По состоянию на 16.04.2014 года с учетом начисленных процентов на счете находилось </w:t>
      </w:r>
      <w:r w:rsidR="00BF29EF">
        <w:t>***</w:t>
      </w:r>
      <w:r w:rsidRPr="0011138A">
        <w:t xml:space="preserve"> долларов США, которые 16.04.2014 года были сняты со счета неизвестными лицами. Кроме того, 06.05.2013 года ответчиком ОАО «Сбербанк России» истцу была выдана кредитная карта с лимитом кредита </w:t>
      </w:r>
      <w:r w:rsidR="00BF29EF">
        <w:t>***</w:t>
      </w:r>
      <w:r w:rsidRPr="0011138A">
        <w:t xml:space="preserve"> рублей, которой истец ни разу не воспользовался. Вместе с тем, 15.04.2014 года неизвестными лицами с кредитной карты были сняты денежные средства в размере </w:t>
      </w:r>
      <w:r w:rsidR="00BF29EF">
        <w:t>***</w:t>
      </w:r>
      <w:r w:rsidRPr="0011138A">
        <w:t xml:space="preserve"> рублей. Истец считает, что ответчик не предпринял должным мер по обеспечению сохранности денежных средств истца, при этом ответчик отказался в добровольном порядке возместить истцу причиненный ему ущерб.</w:t>
      </w:r>
    </w:p>
    <w:p w14:paraId="4DAC8AA0" w14:textId="77777777" w:rsidR="004F62EF" w:rsidRPr="0011138A" w:rsidRDefault="00BF29EF" w:rsidP="00651953">
      <w:pPr>
        <w:pStyle w:val="2"/>
        <w:spacing w:after="0" w:line="240" w:lineRule="auto"/>
        <w:ind w:firstLine="567"/>
        <w:jc w:val="both"/>
      </w:pPr>
      <w:r>
        <w:t>Истец Колягин</w:t>
      </w:r>
      <w:r w:rsidR="004F62EF" w:rsidRPr="0011138A">
        <w:t xml:space="preserve"> просит суд взыскать с ПАО «Сбербанк России» денежные средства, являющиеся его вкладом, в размере </w:t>
      </w:r>
      <w:r>
        <w:t>***</w:t>
      </w:r>
      <w:r w:rsidR="004F62EF" w:rsidRPr="0011138A">
        <w:t xml:space="preserve"> долларов США в рублях по курсу ЦБ на день обращения в суд, проценты за пользование чужими денежными средствами в размере </w:t>
      </w:r>
      <w:r>
        <w:t>***</w:t>
      </w:r>
      <w:r w:rsidR="004F62EF" w:rsidRPr="0011138A">
        <w:t xml:space="preserve"> рублей, расходы на оплату юридических услуг в размере </w:t>
      </w:r>
      <w:r>
        <w:t>***</w:t>
      </w:r>
      <w:r w:rsidR="004F62EF" w:rsidRPr="0011138A">
        <w:t xml:space="preserve"> рублей, компенсацию м</w:t>
      </w:r>
      <w:r>
        <w:t>орального вреда ***</w:t>
      </w:r>
      <w:r w:rsidR="004F62EF" w:rsidRPr="0011138A">
        <w:t xml:space="preserve"> рублей,  штраф за несоблюдение в добровольном порядке требований потребителя.  </w:t>
      </w:r>
    </w:p>
    <w:p w14:paraId="6F4F0B17" w14:textId="77777777" w:rsidR="004F62EF" w:rsidRPr="0011138A" w:rsidRDefault="004F62EF" w:rsidP="006519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Истец Колягин в судебное заседание не явился, извещен.</w:t>
      </w:r>
    </w:p>
    <w:p w14:paraId="466971EF" w14:textId="77777777" w:rsidR="004F62EF" w:rsidRPr="0011138A" w:rsidRDefault="004F62EF" w:rsidP="00651953">
      <w:pPr>
        <w:tabs>
          <w:tab w:val="left" w:pos="72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Представитель истца Козлов в судебное заседание явился, исковые требования поддержал.  </w:t>
      </w:r>
    </w:p>
    <w:p w14:paraId="5644ABF9" w14:textId="77777777" w:rsidR="004F62EF" w:rsidRPr="0011138A" w:rsidRDefault="004F62EF" w:rsidP="00651953">
      <w:pPr>
        <w:tabs>
          <w:tab w:val="left" w:pos="720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Представитель  ответчика ПАО «Сбербанк России» Сергеев в судебное заседание явился, возражал против удовлетворения исковых требований. </w:t>
      </w:r>
    </w:p>
    <w:p w14:paraId="23865A9B" w14:textId="77777777" w:rsidR="005B79C7" w:rsidRPr="0011138A" w:rsidRDefault="00765B0E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Судом постановлено </w:t>
      </w:r>
      <w:r w:rsidR="000A5818" w:rsidRPr="0011138A">
        <w:rPr>
          <w:rFonts w:ascii="Times New Roman" w:eastAsia="Times New Roman" w:hAnsi="Times New Roman"/>
          <w:sz w:val="24"/>
          <w:szCs w:val="24"/>
          <w:lang w:eastAsia="ru-RU"/>
        </w:rPr>
        <w:t>вышеуказа</w:t>
      </w:r>
      <w:r w:rsidR="002B0544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нное решение,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081135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б отмене которого </w:t>
      </w:r>
      <w:r w:rsidR="002B0544" w:rsidRPr="0011138A">
        <w:rPr>
          <w:rFonts w:ascii="Times New Roman" w:eastAsia="Times New Roman" w:hAnsi="Times New Roman"/>
          <w:sz w:val="24"/>
          <w:szCs w:val="24"/>
          <w:lang w:eastAsia="ru-RU"/>
        </w:rPr>
        <w:t>в полном объеме</w:t>
      </w:r>
      <w:r w:rsidR="00C41321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просит </w:t>
      </w:r>
      <w:r w:rsidR="00ED0D4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</w:t>
      </w:r>
      <w:r w:rsidR="004F62EF" w:rsidRPr="0011138A">
        <w:rPr>
          <w:rFonts w:ascii="Times New Roman" w:eastAsia="Times New Roman" w:hAnsi="Times New Roman"/>
          <w:sz w:val="24"/>
          <w:szCs w:val="24"/>
          <w:lang w:eastAsia="ru-RU"/>
        </w:rPr>
        <w:t>истца Колягина</w:t>
      </w:r>
      <w:r w:rsidR="00BF29E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F62EF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– Козлов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по доводам апелляционной жалобы</w:t>
      </w:r>
      <w:r w:rsidR="00ED0D48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ссылаясь на </w:t>
      </w:r>
      <w:r w:rsidR="004F62EF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неправильное применение судом норм материального права, неправильное </w:t>
      </w:r>
      <w:r w:rsidR="004F62EF" w:rsidRPr="0011138A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определение обстоятельств, имеющих значение для дела, а также нарушение норм процессуального права. </w:t>
      </w:r>
    </w:p>
    <w:p w14:paraId="744EBC67" w14:textId="77777777" w:rsidR="004F62EF" w:rsidRPr="0011138A" w:rsidRDefault="004F62EF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Колягин в судебное заседание апелляционной инстанции не явился, извещен.</w:t>
      </w:r>
    </w:p>
    <w:p w14:paraId="0B9EC24B" w14:textId="77777777" w:rsidR="004F62EF" w:rsidRPr="0011138A" w:rsidRDefault="004F62EF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истца  Козлов в судебное заседание апелляционной инстанции явился, доводы апелляционной жалобы поддержал. </w:t>
      </w:r>
    </w:p>
    <w:p w14:paraId="649068EC" w14:textId="77777777" w:rsidR="005B79C7" w:rsidRPr="0011138A" w:rsidRDefault="004F62EF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Представитель ПАО «Сбербанк России» - Сергеев в судебное заседание апелляционной инстанции явился, полагал решение законным и обоснованным. </w:t>
      </w:r>
    </w:p>
    <w:p w14:paraId="13160FFC" w14:textId="77777777" w:rsidR="00765B0E" w:rsidRPr="0011138A" w:rsidRDefault="00765B0E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со </w:t>
      </w:r>
      <w:hyperlink r:id="rId7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ст. ст. 167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8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327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 судебная коллегия считает возможным рассмотреть дело </w:t>
      </w:r>
      <w:r w:rsidR="005B79C7" w:rsidRPr="0011138A">
        <w:rPr>
          <w:rFonts w:ascii="Times New Roman" w:eastAsia="Times New Roman" w:hAnsi="Times New Roman"/>
          <w:sz w:val="24"/>
          <w:szCs w:val="24"/>
          <w:lang w:eastAsia="ru-RU"/>
        </w:rPr>
        <w:t>в отсутствие</w:t>
      </w:r>
      <w:r w:rsidR="004F62EF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истца Колягина В.В. </w:t>
      </w:r>
      <w:r w:rsidR="005B79C7" w:rsidRPr="0011138A">
        <w:rPr>
          <w:rFonts w:ascii="Times New Roman" w:eastAsia="Times New Roman" w:hAnsi="Times New Roman"/>
          <w:sz w:val="24"/>
          <w:szCs w:val="24"/>
          <w:lang w:eastAsia="ru-RU"/>
        </w:rPr>
        <w:t>извещенн</w:t>
      </w:r>
      <w:r w:rsidR="004F62EF" w:rsidRPr="0011138A">
        <w:rPr>
          <w:rFonts w:ascii="Times New Roman" w:eastAsia="Times New Roman" w:hAnsi="Times New Roman"/>
          <w:sz w:val="24"/>
          <w:szCs w:val="24"/>
          <w:lang w:eastAsia="ru-RU"/>
        </w:rPr>
        <w:t>ого</w:t>
      </w:r>
      <w:r w:rsidR="005B79C7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о времени и месте рассмотрения дела. </w:t>
      </w:r>
      <w:r w:rsidR="0001579A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62CC2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06FFFC0" w14:textId="77777777" w:rsidR="000A5818" w:rsidRPr="0011138A" w:rsidRDefault="000A5818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Пленум Верховного Суда РФ в </w:t>
      </w:r>
      <w:hyperlink r:id="rId9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Постановлении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от 19 декабря </w:t>
      </w:r>
      <w:smartTag w:uri="urn:schemas-microsoft-com:office:smarttags" w:element="metricconverter">
        <w:smartTagPr>
          <w:attr w:name="ProductID" w:val="2003 г"/>
        </w:smartTagPr>
        <w:r w:rsidRPr="0011138A">
          <w:rPr>
            <w:rFonts w:ascii="Times New Roman" w:eastAsia="Times New Roman" w:hAnsi="Times New Roman"/>
            <w:sz w:val="24"/>
            <w:szCs w:val="24"/>
            <w:lang w:eastAsia="ru-RU"/>
          </w:rPr>
          <w:t>2003 г</w:t>
        </w:r>
      </w:smartTag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. за № 23 «О судебном решении» разъяснил, что решение должно быть законным и обоснованным (</w:t>
      </w:r>
      <w:hyperlink r:id="rId10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часть 1 статьи 195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hyperlink r:id="rId11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часть 1 статьи 1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2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часть 3 статьи 11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hyperlink r:id="rId13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статьи 55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4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59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- </w:t>
      </w:r>
      <w:hyperlink r:id="rId15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61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hyperlink r:id="rId16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67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73B35458" w14:textId="77777777" w:rsidR="005B79C7" w:rsidRPr="0011138A" w:rsidRDefault="005B79C7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327.1 ГПК РФ с</w:t>
      </w:r>
      <w:r w:rsidRPr="0011138A">
        <w:rPr>
          <w:rFonts w:ascii="Times New Roman" w:hAnsi="Times New Roman"/>
          <w:sz w:val="24"/>
          <w:szCs w:val="24"/>
          <w:lang w:eastAsia="ru-RU"/>
        </w:rPr>
        <w:t>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41B7ADE1" w14:textId="77777777" w:rsidR="005B79C7" w:rsidRPr="0011138A" w:rsidRDefault="005B79C7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Проверив материалы дела, выслушав объяснения представителя</w:t>
      </w:r>
      <w:r w:rsidR="00BF29EF">
        <w:rPr>
          <w:rFonts w:ascii="Times New Roman" w:eastAsia="Times New Roman" w:hAnsi="Times New Roman"/>
          <w:sz w:val="24"/>
          <w:szCs w:val="24"/>
          <w:lang w:eastAsia="ru-RU"/>
        </w:rPr>
        <w:t xml:space="preserve"> истца Колягина – Козлова</w:t>
      </w:r>
      <w:r w:rsidR="0027403A" w:rsidRPr="0011138A">
        <w:rPr>
          <w:rFonts w:ascii="Times New Roman" w:eastAsia="Times New Roman" w:hAnsi="Times New Roman"/>
          <w:sz w:val="24"/>
          <w:szCs w:val="24"/>
          <w:lang w:eastAsia="ru-RU"/>
        </w:rPr>
        <w:t>, представителя ПАО «</w:t>
      </w:r>
      <w:r w:rsidR="00BF29EF">
        <w:rPr>
          <w:rFonts w:ascii="Times New Roman" w:eastAsia="Times New Roman" w:hAnsi="Times New Roman"/>
          <w:sz w:val="24"/>
          <w:szCs w:val="24"/>
          <w:lang w:eastAsia="ru-RU"/>
        </w:rPr>
        <w:t>Сбербанк России» - Сергеева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, обсудив доводы апелляционной жалобы, судебная коллегия не находит оснований к отмене решения суда, постановленного в соответствии с фактическими обстоятельствами дела и требованиями закона.</w:t>
      </w:r>
    </w:p>
    <w:p w14:paraId="3E965898" w14:textId="77777777" w:rsidR="0027403A" w:rsidRPr="0011138A" w:rsidRDefault="007424BC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  <w:lang w:eastAsia="ru-RU"/>
        </w:rPr>
        <w:t xml:space="preserve">Как установлено судом, </w:t>
      </w:r>
      <w:r w:rsidR="00BF29EF">
        <w:rPr>
          <w:rFonts w:ascii="Times New Roman" w:hAnsi="Times New Roman"/>
          <w:sz w:val="24"/>
          <w:szCs w:val="24"/>
        </w:rPr>
        <w:t>Колягин</w:t>
      </w:r>
      <w:r w:rsidR="0027403A" w:rsidRPr="0011138A">
        <w:rPr>
          <w:rFonts w:ascii="Times New Roman" w:hAnsi="Times New Roman"/>
          <w:sz w:val="24"/>
          <w:szCs w:val="24"/>
        </w:rPr>
        <w:t xml:space="preserve"> является вкладчиком и держателем карты ОАО «Сбербанк России», отношения между Банком и Истцом основываются на Заявлении на получение банковской карты, Условиях банковского обслуживания физических лиц ОАО «Сбербанк России» и Тарифов Банка. </w:t>
      </w:r>
    </w:p>
    <w:p w14:paraId="28D1A07A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В рамках заключенного Договора Истцу был открыт счет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и выдана кредитная карта Visa Gold  №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>.</w:t>
      </w:r>
    </w:p>
    <w:p w14:paraId="0D063952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Истцом была подписана «Информация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в которой согласованы основные условия получения кредита: кредитный лимит -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руб.; срок кредита - 36 месяцев; процентная ставка по кредиту - 17,9%; минимальный ежемесячный платеж по погашению основного долга - 5% от размера задолженности;  дата платежа - не позднее 20 дней с даты формирования отчета.</w:t>
      </w:r>
    </w:p>
    <w:p w14:paraId="42D1BFD4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соответствии с п. 1.10, 1.11 Условий Действие Договора распространяется на счета карт, открытые как до, так и после заключения Договора, а также на вклады, предусмотренные договором, открываемые Клиенту в рамках Договора, а также открытые в рамках отдельных договоров.</w:t>
      </w:r>
    </w:p>
    <w:p w14:paraId="03B8F4F9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рамках Договора Клиенту предоставляется возможность проведения банковских операций через удаленные каналы обслуживания.</w:t>
      </w:r>
    </w:p>
    <w:p w14:paraId="699A9679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В Заявлении на получение международной карты Сбербанка России от 06.05.2013. собственноручно подписанном Истцом, дано поручение Банку на подключение карты к «Мобильному банку» и указан номер мобильного телефона </w:t>
      </w:r>
      <w:r w:rsidR="00BF29EF">
        <w:rPr>
          <w:rFonts w:ascii="Times New Roman" w:hAnsi="Times New Roman"/>
          <w:sz w:val="24"/>
          <w:szCs w:val="24"/>
        </w:rPr>
        <w:t>***</w:t>
      </w:r>
      <w:r w:rsidR="0011138A">
        <w:rPr>
          <w:rFonts w:ascii="Times New Roman" w:hAnsi="Times New Roman"/>
          <w:sz w:val="24"/>
          <w:szCs w:val="24"/>
        </w:rPr>
        <w:t>.</w:t>
      </w:r>
    </w:p>
    <w:p w14:paraId="6A8B8BA0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lastRenderedPageBreak/>
        <w:t>В соответствии с разделом Заявления «Подтверждение сведений и условий ОАО «Сбербанк России» Истец подтвердил достоверность содержащихся в Заявлении сведений.</w:t>
      </w:r>
    </w:p>
    <w:p w14:paraId="06787A01" w14:textId="77777777" w:rsidR="0027403A" w:rsidRPr="0011138A" w:rsidRDefault="003F0B11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="0027403A" w:rsidRPr="0011138A">
        <w:rPr>
          <w:rFonts w:ascii="Times New Roman" w:hAnsi="Times New Roman"/>
          <w:sz w:val="24"/>
          <w:szCs w:val="24"/>
        </w:rPr>
        <w:t>4.04.2014</w:t>
      </w:r>
      <w:r>
        <w:rPr>
          <w:rFonts w:ascii="Times New Roman" w:hAnsi="Times New Roman"/>
          <w:sz w:val="24"/>
          <w:szCs w:val="24"/>
        </w:rPr>
        <w:t xml:space="preserve"> года </w:t>
      </w:r>
      <w:r w:rsidR="0027403A" w:rsidRPr="0011138A">
        <w:rPr>
          <w:rFonts w:ascii="Times New Roman" w:hAnsi="Times New Roman"/>
          <w:sz w:val="24"/>
          <w:szCs w:val="24"/>
        </w:rPr>
        <w:t xml:space="preserve">с использованием реквизитов карты № </w:t>
      </w:r>
      <w:r w:rsidR="00BF29EF">
        <w:rPr>
          <w:rFonts w:ascii="Times New Roman" w:hAnsi="Times New Roman"/>
          <w:sz w:val="24"/>
          <w:szCs w:val="24"/>
        </w:rPr>
        <w:t>***</w:t>
      </w:r>
      <w:r w:rsidR="0027403A" w:rsidRPr="0011138A">
        <w:rPr>
          <w:rFonts w:ascii="Times New Roman" w:hAnsi="Times New Roman"/>
          <w:sz w:val="24"/>
          <w:szCs w:val="24"/>
        </w:rPr>
        <w:t xml:space="preserve">, идентификатора пользователя и постоянного пароля, был осуществлен вход в систему «Сбербанк Онлайн» и дано распоряжение банку о перечислении денежных средств в размере </w:t>
      </w:r>
      <w:r w:rsidR="00BF29EF">
        <w:rPr>
          <w:rFonts w:ascii="Times New Roman" w:hAnsi="Times New Roman"/>
          <w:sz w:val="24"/>
          <w:szCs w:val="24"/>
        </w:rPr>
        <w:t>***</w:t>
      </w:r>
      <w:r w:rsidR="0027403A" w:rsidRPr="0011138A">
        <w:rPr>
          <w:rFonts w:ascii="Times New Roman" w:hAnsi="Times New Roman"/>
          <w:sz w:val="24"/>
          <w:szCs w:val="24"/>
        </w:rPr>
        <w:t xml:space="preserve"> руб. в адрес компании YANDEX.MONEY .</w:t>
      </w:r>
    </w:p>
    <w:p w14:paraId="56ED3C06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Для дополнительной аутентификации и идентификации Клиента на номер мобильного телефона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>, подключенного к системе «Мобильный банк», перед совершением операций, Банком было направлено CMC-сообщение, содержащее счет, сумму денежных средств, код для подтверждения проведения операции.</w:t>
      </w:r>
    </w:p>
    <w:p w14:paraId="66248CD7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После введения одноразового пароля в системе Сбербанк ОнЛ@йн, подтверждающего проведение операции</w:t>
      </w:r>
      <w:r w:rsidR="003F0B11">
        <w:rPr>
          <w:rFonts w:ascii="Times New Roman" w:hAnsi="Times New Roman"/>
          <w:sz w:val="24"/>
          <w:szCs w:val="24"/>
        </w:rPr>
        <w:t>, б</w:t>
      </w:r>
      <w:r w:rsidRPr="0011138A">
        <w:rPr>
          <w:rFonts w:ascii="Times New Roman" w:hAnsi="Times New Roman"/>
          <w:sz w:val="24"/>
          <w:szCs w:val="24"/>
        </w:rPr>
        <w:t>анком была произведена операция списания денежных средств и направлено сообщение Истцу о списании со счета истца денежных средств в пользу компании, что свидетельствует о даче распоряжения на перечисление Истцом услуги по перечислению денежных средств с карты Истца, путем направления поручений в Банк, подтвержденных паролем, на перевод денежных средств с его карты, что подтверждается, распечаткой сообщений системы Сбербанка Mbank, протоколами проведения операции.</w:t>
      </w:r>
    </w:p>
    <w:p w14:paraId="233C0C11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дальнейшем Истцом был осуществлен вход в систему СбербанкОнлайн, о чем Истцу было направлено смс-сообщение «ОнЛ@йн. 20:42 14.04.2014</w:t>
      </w:r>
      <w:r w:rsidR="003F0B11">
        <w:rPr>
          <w:rFonts w:ascii="Times New Roman" w:hAnsi="Times New Roman"/>
          <w:sz w:val="24"/>
          <w:szCs w:val="24"/>
        </w:rPr>
        <w:t xml:space="preserve"> года вход в систему</w:t>
      </w:r>
      <w:r w:rsidRPr="0011138A">
        <w:rPr>
          <w:rFonts w:ascii="Times New Roman" w:hAnsi="Times New Roman"/>
          <w:sz w:val="24"/>
          <w:szCs w:val="24"/>
        </w:rPr>
        <w:t xml:space="preserve">, и дано распоряжение Банку о перечисление денежных средств с карты Истца в счет оплаты услуг мобильной связи номеров мобильных телефонов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в размере 40000 руб.,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в размере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руб.</w:t>
      </w:r>
    </w:p>
    <w:p w14:paraId="51A7BA99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Для дополнительной аутентификации и идентификации Клиента на номер мобильного телефона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>, подключенного к системе «Мобильный банк», перед совершением операций были также направлены смс-сообщения с реквизитами платежа и паролем для подтверждения перечисления денежных средств, которые были введены корректно, после чего Банк исполнил распоряжение Клиента, что подтверждается смс-сообщениями, протоколами проведения операций.</w:t>
      </w:r>
    </w:p>
    <w:p w14:paraId="2AAE51EE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Аналогичные операции по перечислению ден</w:t>
      </w:r>
      <w:r w:rsidR="00BF29EF">
        <w:rPr>
          <w:rFonts w:ascii="Times New Roman" w:hAnsi="Times New Roman"/>
          <w:sz w:val="24"/>
          <w:szCs w:val="24"/>
        </w:rPr>
        <w:t>ежных средств со счета Истца № ***</w:t>
      </w:r>
      <w:r w:rsidRPr="0011138A">
        <w:rPr>
          <w:rFonts w:ascii="Times New Roman" w:hAnsi="Times New Roman"/>
          <w:sz w:val="24"/>
          <w:szCs w:val="24"/>
        </w:rPr>
        <w:t xml:space="preserve"> в счет оплаты услуг мобильной связи были совершены на номер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в размере </w:t>
      </w:r>
      <w:r w:rsidR="00BF29EF">
        <w:rPr>
          <w:rFonts w:ascii="Times New Roman" w:hAnsi="Times New Roman"/>
          <w:sz w:val="24"/>
          <w:szCs w:val="24"/>
        </w:rPr>
        <w:t>*** руб. и на номер ***</w:t>
      </w:r>
      <w:r w:rsidRPr="0011138A">
        <w:rPr>
          <w:rFonts w:ascii="Times New Roman" w:hAnsi="Times New Roman"/>
          <w:sz w:val="24"/>
          <w:szCs w:val="24"/>
        </w:rPr>
        <w:t xml:space="preserve"> в размере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руб., подтвержденные паролем, что подтверждается представленными в материалах дел копиями смс-сообщений и протоколов.</w:t>
      </w:r>
    </w:p>
    <w:p w14:paraId="7C89E2D6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16.04.2014 через систему «ОнЛ@йн»</w:t>
      </w:r>
      <w:r w:rsidR="003F0B11">
        <w:rPr>
          <w:rFonts w:ascii="Times New Roman" w:hAnsi="Times New Roman"/>
          <w:sz w:val="24"/>
          <w:szCs w:val="24"/>
        </w:rPr>
        <w:t xml:space="preserve"> совершена операция </w:t>
      </w:r>
      <w:r w:rsidRPr="0011138A">
        <w:rPr>
          <w:rFonts w:ascii="Times New Roman" w:hAnsi="Times New Roman"/>
          <w:sz w:val="24"/>
          <w:szCs w:val="24"/>
        </w:rPr>
        <w:t xml:space="preserve"> по переводу денежных средств с валютного счета вклада «Универсальный 5 лет» № </w:t>
      </w:r>
      <w:r w:rsidR="00BF29EF">
        <w:rPr>
          <w:rFonts w:ascii="Times New Roman" w:hAnsi="Times New Roman"/>
          <w:sz w:val="24"/>
          <w:szCs w:val="24"/>
        </w:rPr>
        <w:t>***</w:t>
      </w:r>
      <w:r w:rsidR="003F0B11">
        <w:rPr>
          <w:rFonts w:ascii="Times New Roman" w:hAnsi="Times New Roman"/>
          <w:sz w:val="24"/>
          <w:szCs w:val="24"/>
        </w:rPr>
        <w:t>,</w:t>
      </w:r>
      <w:r w:rsidRPr="0011138A">
        <w:rPr>
          <w:rFonts w:ascii="Times New Roman" w:hAnsi="Times New Roman"/>
          <w:sz w:val="24"/>
          <w:szCs w:val="24"/>
        </w:rPr>
        <w:t xml:space="preserve"> принадлежащего Истцу, в размере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 xml:space="preserve"> долларов США на счет вклада «Универсальный на 5 лет» № </w:t>
      </w:r>
      <w:r w:rsidR="00BF29EF">
        <w:rPr>
          <w:rFonts w:ascii="Times New Roman" w:hAnsi="Times New Roman"/>
          <w:sz w:val="24"/>
          <w:szCs w:val="24"/>
        </w:rPr>
        <w:t>***</w:t>
      </w:r>
      <w:r w:rsidRPr="0011138A">
        <w:rPr>
          <w:rFonts w:ascii="Times New Roman" w:hAnsi="Times New Roman"/>
          <w:sz w:val="24"/>
          <w:szCs w:val="24"/>
        </w:rPr>
        <w:t>, также принадлежащий Истцу.</w:t>
      </w:r>
    </w:p>
    <w:p w14:paraId="50D0219B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соответствии с п.п. 3.6, 3.7 Условий Приложение № 4, основанием для предоставления услуг проведения банковских операций в системе «Сбербанк ОнЛ@йн» является подключение Клиента к система «Сбербанк ОнЛ@йн»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подключенный к системе «Мобильного банка» по Картам). Услуги предоставляются при условии положительной идентификации и аутентификации Клиента в системе «Сбербанк ОнЛ@йн».</w:t>
      </w:r>
    </w:p>
    <w:p w14:paraId="5BA60682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Согласно Условиям держатель карты обязан выполнять Условия и правила, изложенные в Памятке Держателя, не сообщать ПИН-код и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ПИН-кода:</w:t>
      </w:r>
    </w:p>
    <w:p w14:paraId="0B5482D8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силу п. 3.20.1 Условий Приложение № 4, держатель карты обязуется хранить Идентификатор Пользователя, пароль и одноразовые пароли в недоступном для третьих лиц месте, не передавать их для совершения операций другим лицам.</w:t>
      </w:r>
    </w:p>
    <w:p w14:paraId="442C553C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- 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 (п. 3.10 Условий Приложение № 4).</w:t>
      </w:r>
    </w:p>
    <w:p w14:paraId="73CEC48C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- 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несанкционированного доступа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информации, а также возможными неправомерными действиями иных лиц (п. 3.11 Условий Приложение № 4).</w:t>
      </w:r>
    </w:p>
    <w:p w14:paraId="5E572253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Согласно п. 3.9 Условий Приложение № 4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4FCCA08B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</w:t>
      </w:r>
      <w:r w:rsidR="003F0B11">
        <w:rPr>
          <w:rFonts w:ascii="Times New Roman" w:hAnsi="Times New Roman"/>
          <w:sz w:val="24"/>
          <w:szCs w:val="24"/>
        </w:rPr>
        <w:t>.</w:t>
      </w:r>
    </w:p>
    <w:p w14:paraId="7837DEE4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Клиент обязуется перед вводом в системе «Сбербанк ОнЛ@йн» одноразового пароля, полученного в смс-сообщении в рамках услуги «Мобильный банк», в обязательном порядке сверить реквизиты совершаемой операции с реквизитами в смс-сообщении, содержащем одноразовый пароль. Вводить пароль в систему только при условии совпадения реквизитов совершаемой операции с реквизитами в смс-сообщении, содержащем одноразовый пароль, и согласии с проводимой операцией.</w:t>
      </w:r>
    </w:p>
    <w:p w14:paraId="126ECE56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невозможно.</w:t>
      </w:r>
    </w:p>
    <w:p w14:paraId="3FEE764F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Для входа в систему «Сбербанк ОнЛ@йн» и проведения операций требуется дополнительная аутентификация Клиента с использованием одноразовых паролей, получаемых Клиентом через «Мобильный банк» по картам, в частности - создание шаблонов платежей в адрес получателей.</w:t>
      </w:r>
    </w:p>
    <w:p w14:paraId="3A3D8FF6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Согласно п. 2.5 Условий подключение клиента к услуге «Мобильный банк» по картам осуществляется:</w:t>
      </w:r>
    </w:p>
    <w:p w14:paraId="66C8B358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- на основании заявления на получение карты либо заявления на подключение к «Мобильному Банку» установленной Банком формы. Подписанного клиентом, оформляемого в подразделении Банка. </w:t>
      </w:r>
    </w:p>
    <w:p w14:paraId="3C953526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соответствии с п. 3.19.2 Условия Клиент согласен с тем</w:t>
      </w:r>
      <w:r w:rsidR="00735DBF">
        <w:rPr>
          <w:rFonts w:ascii="Times New Roman" w:hAnsi="Times New Roman"/>
          <w:sz w:val="24"/>
          <w:szCs w:val="24"/>
        </w:rPr>
        <w:t xml:space="preserve">, </w:t>
      </w:r>
      <w:r w:rsidRPr="0011138A">
        <w:rPr>
          <w:rFonts w:ascii="Times New Roman" w:hAnsi="Times New Roman"/>
          <w:sz w:val="24"/>
          <w:szCs w:val="24"/>
        </w:rPr>
        <w:t>что Банк не несет ответственности за последствия компрометации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4324C826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Банк не несет ответственности в случае</w:t>
      </w:r>
      <w:r w:rsidR="00735DBF">
        <w:rPr>
          <w:rFonts w:ascii="Times New Roman" w:hAnsi="Times New Roman"/>
          <w:sz w:val="24"/>
          <w:szCs w:val="24"/>
        </w:rPr>
        <w:t>,</w:t>
      </w:r>
      <w:r w:rsidRPr="0011138A">
        <w:rPr>
          <w:rFonts w:ascii="Times New Roman" w:hAnsi="Times New Roman"/>
          <w:sz w:val="24"/>
          <w:szCs w:val="24"/>
        </w:rPr>
        <w:t xml:space="preserve"> если информация о Карте, ПИНе,  контрольной информации Клиента, Идентификаторе пользователя, логине, паролях системы «Сбербанк ОнЛ@йн» станет известной иным лицам в результате недобросовестного выполнения Клиентом условий их хранения и использования (п. 5.4 Условий стр. 12).</w:t>
      </w:r>
    </w:p>
    <w:p w14:paraId="751F2F5F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Банк не несет ответственности за последствия исполнения поручений, выданных неуполномоченными лицами, и в тех случаях, когда с использованием предусмотренных банковскими правилами и Условий процедур Банк не мог установить факта выдачи распоряжения неуполномоченными лицами, (п. 5.5 Условий стр. 12).</w:t>
      </w:r>
    </w:p>
    <w:p w14:paraId="486939FC" w14:textId="77777777" w:rsidR="0027403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В силу п. 5.9 Условий, 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идентификации и аутентификации.</w:t>
      </w:r>
    </w:p>
    <w:p w14:paraId="07E256BC" w14:textId="77777777" w:rsidR="0011138A" w:rsidRPr="0011138A" w:rsidRDefault="0027403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Учитывая вышеназванные положения «Условий банковского обслуживания физических</w:t>
      </w:r>
      <w:r w:rsidR="0011138A" w:rsidRPr="0011138A">
        <w:rPr>
          <w:rFonts w:ascii="Times New Roman" w:hAnsi="Times New Roman"/>
          <w:sz w:val="24"/>
          <w:szCs w:val="24"/>
        </w:rPr>
        <w:t xml:space="preserve"> лиц</w:t>
      </w:r>
      <w:r w:rsidRPr="0011138A">
        <w:rPr>
          <w:rFonts w:ascii="Times New Roman" w:hAnsi="Times New Roman"/>
          <w:sz w:val="24"/>
          <w:szCs w:val="24"/>
        </w:rPr>
        <w:t>», руководст</w:t>
      </w:r>
      <w:r w:rsidR="0011138A" w:rsidRPr="0011138A">
        <w:rPr>
          <w:rFonts w:ascii="Times New Roman" w:hAnsi="Times New Roman"/>
          <w:sz w:val="24"/>
          <w:szCs w:val="24"/>
        </w:rPr>
        <w:t>в</w:t>
      </w:r>
      <w:r w:rsidRPr="0011138A">
        <w:rPr>
          <w:rFonts w:ascii="Times New Roman" w:hAnsi="Times New Roman"/>
          <w:sz w:val="24"/>
          <w:szCs w:val="24"/>
        </w:rPr>
        <w:t>уяс</w:t>
      </w:r>
      <w:r w:rsidR="0011138A" w:rsidRPr="0011138A">
        <w:rPr>
          <w:rFonts w:ascii="Times New Roman" w:hAnsi="Times New Roman"/>
          <w:sz w:val="24"/>
          <w:szCs w:val="24"/>
        </w:rPr>
        <w:t>ь</w:t>
      </w:r>
      <w:r w:rsidRPr="0011138A">
        <w:rPr>
          <w:rFonts w:ascii="Times New Roman" w:hAnsi="Times New Roman"/>
          <w:sz w:val="24"/>
          <w:szCs w:val="24"/>
        </w:rPr>
        <w:t xml:space="preserve"> ст.</w:t>
      </w:r>
      <w:r w:rsidR="0011138A" w:rsidRPr="0011138A">
        <w:rPr>
          <w:rFonts w:ascii="Times New Roman" w:hAnsi="Times New Roman"/>
          <w:sz w:val="24"/>
          <w:szCs w:val="24"/>
        </w:rPr>
        <w:t xml:space="preserve"> 845 ГК РФ, суд пришел к правильному выводу, что </w:t>
      </w:r>
      <w:r w:rsidRPr="0011138A">
        <w:rPr>
          <w:rFonts w:ascii="Times New Roman" w:hAnsi="Times New Roman"/>
          <w:sz w:val="24"/>
          <w:szCs w:val="24"/>
        </w:rPr>
        <w:t xml:space="preserve"> требования</w:t>
      </w:r>
      <w:r w:rsidR="0011138A" w:rsidRPr="0011138A">
        <w:rPr>
          <w:rFonts w:ascii="Times New Roman" w:hAnsi="Times New Roman"/>
          <w:sz w:val="24"/>
          <w:szCs w:val="24"/>
        </w:rPr>
        <w:t xml:space="preserve"> истца </w:t>
      </w:r>
      <w:r w:rsidRPr="0011138A">
        <w:rPr>
          <w:rFonts w:ascii="Times New Roman" w:hAnsi="Times New Roman"/>
          <w:sz w:val="24"/>
          <w:szCs w:val="24"/>
        </w:rPr>
        <w:t xml:space="preserve">о взыскании </w:t>
      </w:r>
      <w:r w:rsidR="0011138A" w:rsidRPr="0011138A">
        <w:rPr>
          <w:rFonts w:ascii="Times New Roman" w:hAnsi="Times New Roman"/>
          <w:sz w:val="24"/>
          <w:szCs w:val="24"/>
        </w:rPr>
        <w:t xml:space="preserve">в ответчика </w:t>
      </w:r>
      <w:r w:rsidRPr="0011138A">
        <w:rPr>
          <w:rFonts w:ascii="Times New Roman" w:hAnsi="Times New Roman"/>
          <w:sz w:val="24"/>
          <w:szCs w:val="24"/>
        </w:rPr>
        <w:t>денежных средств</w:t>
      </w:r>
      <w:r w:rsidR="0011138A" w:rsidRPr="0011138A">
        <w:rPr>
          <w:rFonts w:ascii="Times New Roman" w:hAnsi="Times New Roman"/>
          <w:sz w:val="24"/>
          <w:szCs w:val="24"/>
        </w:rPr>
        <w:t xml:space="preserve"> не подлежат удовлетворению, </w:t>
      </w:r>
      <w:r w:rsidR="00735DBF">
        <w:rPr>
          <w:rFonts w:ascii="Times New Roman" w:hAnsi="Times New Roman"/>
          <w:sz w:val="24"/>
          <w:szCs w:val="24"/>
        </w:rPr>
        <w:t xml:space="preserve">поскольку </w:t>
      </w:r>
      <w:r w:rsidR="0011138A" w:rsidRPr="0011138A">
        <w:rPr>
          <w:rFonts w:ascii="Times New Roman" w:hAnsi="Times New Roman"/>
          <w:sz w:val="24"/>
          <w:szCs w:val="24"/>
        </w:rPr>
        <w:t xml:space="preserve">операции по переводу денежных средств  выполнены в соответствии с «Условиями банковского обслуживания физических лиц». </w:t>
      </w:r>
    </w:p>
    <w:p w14:paraId="11262A24" w14:textId="77777777" w:rsidR="0011138A" w:rsidRPr="0011138A" w:rsidRDefault="0011138A" w:rsidP="00651953">
      <w:pPr>
        <w:spacing w:after="0" w:line="240" w:lineRule="auto"/>
        <w:ind w:right="40"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 xml:space="preserve">Судебная коллегия соглашается с выводами суда первой инстанции. </w:t>
      </w:r>
    </w:p>
    <w:p w14:paraId="002B5144" w14:textId="77777777" w:rsidR="00DA20ED" w:rsidRDefault="00317307" w:rsidP="00651953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 w:rsidRPr="0011138A">
        <w:rPr>
          <w:rFonts w:ascii="Times New Roman" w:hAnsi="Times New Roman"/>
          <w:sz w:val="24"/>
          <w:szCs w:val="24"/>
        </w:rPr>
        <w:t>Доводы апелляционной жалобы</w:t>
      </w:r>
      <w:r w:rsidR="0005098A">
        <w:rPr>
          <w:rFonts w:ascii="Times New Roman" w:hAnsi="Times New Roman"/>
          <w:sz w:val="24"/>
          <w:szCs w:val="24"/>
        </w:rPr>
        <w:t xml:space="preserve"> п</w:t>
      </w:r>
      <w:r w:rsidR="00BF29EF">
        <w:rPr>
          <w:rFonts w:ascii="Times New Roman" w:hAnsi="Times New Roman"/>
          <w:sz w:val="24"/>
          <w:szCs w:val="24"/>
        </w:rPr>
        <w:t>редставителя истца Колягина – Козлова</w:t>
      </w:r>
      <w:r w:rsidR="0005098A">
        <w:rPr>
          <w:rFonts w:ascii="Times New Roman" w:hAnsi="Times New Roman"/>
          <w:sz w:val="24"/>
          <w:szCs w:val="24"/>
        </w:rPr>
        <w:t>, что истец признан потерпевшим по уголовному делу, возбужденному по его заявлению,  следовательно он не имеет отношения к снятию денежных средств  со четов, судебная коллегия полагает не состоятельными, поскольку только приговором суда может быть установлена причастность</w:t>
      </w:r>
      <w:r w:rsidR="00DA20ED">
        <w:rPr>
          <w:rFonts w:ascii="Times New Roman" w:hAnsi="Times New Roman"/>
          <w:sz w:val="24"/>
          <w:szCs w:val="24"/>
        </w:rPr>
        <w:t xml:space="preserve"> или не причастность </w:t>
      </w:r>
      <w:r w:rsidR="0005098A">
        <w:rPr>
          <w:rFonts w:ascii="Times New Roman" w:hAnsi="Times New Roman"/>
          <w:sz w:val="24"/>
          <w:szCs w:val="24"/>
        </w:rPr>
        <w:t xml:space="preserve">того или иного лица к </w:t>
      </w:r>
      <w:r w:rsidR="00DA20ED">
        <w:rPr>
          <w:rFonts w:ascii="Times New Roman" w:hAnsi="Times New Roman"/>
          <w:sz w:val="24"/>
          <w:szCs w:val="24"/>
        </w:rPr>
        <w:t>совершенному преступлению. Приговора суда по данному делу в настоящее время не состоялось.</w:t>
      </w:r>
    </w:p>
    <w:p w14:paraId="18D95B4C" w14:textId="77777777" w:rsidR="00F65FFA" w:rsidRDefault="00DA20ED" w:rsidP="00651953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не состоятелен доводы апелляционной жалобы предст</w:t>
      </w:r>
      <w:r w:rsidR="005D5C4B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вителя истца об отсутствии документов, подтв</w:t>
      </w:r>
      <w:r w:rsidR="00BF29EF">
        <w:rPr>
          <w:rFonts w:ascii="Times New Roman" w:hAnsi="Times New Roman"/>
          <w:sz w:val="24"/>
          <w:szCs w:val="24"/>
        </w:rPr>
        <w:t xml:space="preserve">ерждающих ознакомление Колягина </w:t>
      </w:r>
      <w:r>
        <w:rPr>
          <w:rFonts w:ascii="Times New Roman" w:hAnsi="Times New Roman"/>
          <w:sz w:val="24"/>
          <w:szCs w:val="24"/>
        </w:rPr>
        <w:t>с «Условиями банковского обслуживания физических лиц», на основании которых строятся отношения между банком и клиентом, поскол</w:t>
      </w:r>
      <w:r w:rsidR="00BF29EF">
        <w:rPr>
          <w:rFonts w:ascii="Times New Roman" w:hAnsi="Times New Roman"/>
          <w:sz w:val="24"/>
          <w:szCs w:val="24"/>
        </w:rPr>
        <w:t xml:space="preserve">ьку согласно заявления Колягина </w:t>
      </w:r>
      <w:r>
        <w:rPr>
          <w:rFonts w:ascii="Times New Roman" w:hAnsi="Times New Roman"/>
          <w:sz w:val="24"/>
          <w:szCs w:val="24"/>
        </w:rPr>
        <w:t xml:space="preserve">на получение кредитной карты, он уведомлен, что «Условия выпуска и обслуживания кредитной карты ОАО «Сбербанк России», Тарифы ОАО «Сбербанк России», Памятка держателя, </w:t>
      </w:r>
      <w:r w:rsidR="00F65FFA">
        <w:rPr>
          <w:rFonts w:ascii="Times New Roman" w:hAnsi="Times New Roman"/>
          <w:sz w:val="24"/>
          <w:szCs w:val="24"/>
        </w:rPr>
        <w:t>Руководство по использованию услуг «Мобильного банка», Руководство пользователя «Сбербанк Онлайн» размещены на сайте ОАО «Сбербанк России» и в отделениях Сбербанка России, следовательно</w:t>
      </w:r>
      <w:r w:rsidR="004116F1">
        <w:rPr>
          <w:rFonts w:ascii="Times New Roman" w:hAnsi="Times New Roman"/>
          <w:sz w:val="24"/>
          <w:szCs w:val="24"/>
        </w:rPr>
        <w:t xml:space="preserve">, </w:t>
      </w:r>
      <w:r w:rsidR="00F65FFA">
        <w:rPr>
          <w:rFonts w:ascii="Times New Roman" w:hAnsi="Times New Roman"/>
          <w:sz w:val="24"/>
          <w:szCs w:val="24"/>
        </w:rPr>
        <w:t xml:space="preserve">при должной степени заботливости и осмотрительности должен был ознакомиться с указанными документами.  </w:t>
      </w:r>
    </w:p>
    <w:p w14:paraId="659031EC" w14:textId="77777777" w:rsidR="00F65FFA" w:rsidRDefault="004116F1" w:rsidP="00651953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состоятельным является доводы апелляционной жалобы</w:t>
      </w:r>
      <w:r w:rsidR="0058215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что перевод денежных средств на счет </w:t>
      </w:r>
      <w:r w:rsidR="00BF29EF"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осуществлен банком без введения подтверждающего пароля, поскольку указанный счет был открыт на имя Колягина 17.04.2013 года и закрыт 22.11.2014 года, перевод между счетами клиента согласно Условий осуществляется без введения дополнительного пароля.  </w:t>
      </w:r>
    </w:p>
    <w:p w14:paraId="67D82599" w14:textId="77777777" w:rsidR="005D5C4B" w:rsidRDefault="005D5C4B" w:rsidP="00651953">
      <w:pPr>
        <w:pStyle w:val="ac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Кроме того, судебная коллегия учитывает, что операции по счету истца </w:t>
      </w:r>
      <w:r w:rsidR="00BF29EF">
        <w:rPr>
          <w:rFonts w:ascii="Times New Roman" w:hAnsi="Times New Roman"/>
          <w:sz w:val="24"/>
          <w:szCs w:val="24"/>
        </w:rPr>
        <w:t>***</w:t>
      </w:r>
      <w:r>
        <w:rPr>
          <w:rFonts w:ascii="Times New Roman" w:hAnsi="Times New Roman"/>
          <w:sz w:val="24"/>
          <w:szCs w:val="24"/>
        </w:rPr>
        <w:t xml:space="preserve"> согласно протоколов проведения операций производились истцом и ранее 16.04.2014 года, оповещения и проведенных по указанному счету операциям истцу доставлялись, в связи с чем доводы об отсутствии доказательств принадлежности указанного счет истцу не состоятельны. </w:t>
      </w:r>
    </w:p>
    <w:p w14:paraId="6A273C17" w14:textId="77777777" w:rsidR="005816C2" w:rsidRPr="0011138A" w:rsidRDefault="005816C2" w:rsidP="00651953">
      <w:pPr>
        <w:pStyle w:val="ac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11138A">
        <w:rPr>
          <w:rFonts w:ascii="Times New Roman" w:hAnsi="Times New Roman"/>
          <w:sz w:val="24"/>
          <w:szCs w:val="24"/>
          <w:lang w:eastAsia="ru-RU"/>
        </w:rPr>
        <w:t xml:space="preserve">Иные доводы, изложенные в апелляционной жалобе, правовых оснований к отмене решения суда не содержат, направлены на </w:t>
      </w:r>
      <w:r w:rsidR="008E5600" w:rsidRPr="0011138A">
        <w:rPr>
          <w:rFonts w:ascii="Times New Roman" w:hAnsi="Times New Roman"/>
          <w:sz w:val="24"/>
          <w:szCs w:val="24"/>
          <w:lang w:eastAsia="ru-RU"/>
        </w:rPr>
        <w:t>переоценку</w:t>
      </w:r>
      <w:r w:rsidRPr="0011138A">
        <w:rPr>
          <w:rFonts w:ascii="Times New Roman" w:hAnsi="Times New Roman"/>
          <w:sz w:val="24"/>
          <w:szCs w:val="24"/>
          <w:lang w:eastAsia="ru-RU"/>
        </w:rPr>
        <w:t xml:space="preserve"> доказательств, надлежащая оценка которым дана при рассмотрении дела в суде первой инстанции. Основания для их переоценки у суда апелляционной инстанции отсутствуют.</w:t>
      </w:r>
    </w:p>
    <w:p w14:paraId="7E393291" w14:textId="77777777" w:rsidR="005816C2" w:rsidRPr="0011138A" w:rsidRDefault="005816C2" w:rsidP="00651953">
      <w:pPr>
        <w:pStyle w:val="ac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11138A">
        <w:rPr>
          <w:rFonts w:ascii="Times New Roman" w:hAnsi="Times New Roman"/>
          <w:sz w:val="24"/>
          <w:szCs w:val="24"/>
          <w:lang w:eastAsia="ru-RU"/>
        </w:rPr>
        <w:t xml:space="preserve">При таких обстоятельствах предусмотренных </w:t>
      </w:r>
      <w:hyperlink r:id="rId17" w:history="1">
        <w:r w:rsidRPr="0011138A">
          <w:rPr>
            <w:rFonts w:ascii="Times New Roman" w:hAnsi="Times New Roman"/>
            <w:sz w:val="24"/>
            <w:szCs w:val="24"/>
            <w:lang w:eastAsia="ru-RU"/>
          </w:rPr>
          <w:t>ст.330</w:t>
        </w:r>
      </w:hyperlink>
      <w:r w:rsidRPr="0011138A">
        <w:rPr>
          <w:rFonts w:ascii="Times New Roman" w:hAnsi="Times New Roman"/>
          <w:sz w:val="24"/>
          <w:szCs w:val="24"/>
          <w:lang w:eastAsia="ru-RU"/>
        </w:rPr>
        <w:t xml:space="preserve"> Гражданского процессуального кодекса Российской Федерации оснований для отмены решения суда по доводам апелляционной жалобы не имеется.</w:t>
      </w:r>
    </w:p>
    <w:p w14:paraId="7355DA4F" w14:textId="77777777" w:rsidR="00765B0E" w:rsidRPr="0011138A" w:rsidRDefault="00765B0E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На основании вышеизложенного, руководствуясь </w:t>
      </w:r>
      <w:hyperlink r:id="rId18" w:history="1">
        <w:r w:rsidRPr="0011138A">
          <w:rPr>
            <w:rStyle w:val="a9"/>
            <w:rFonts w:ascii="Times New Roman" w:eastAsia="Times New Roman" w:hAnsi="Times New Roman"/>
            <w:sz w:val="24"/>
            <w:szCs w:val="24"/>
            <w:u w:val="none"/>
            <w:lang w:eastAsia="ru-RU"/>
          </w:rPr>
          <w:t>ст. ст. 327</w:t>
        </w:r>
      </w:hyperlink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C32DA" w:rsidRPr="0011138A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C32DA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329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ГПК РФ, судебная коллегия</w:t>
      </w:r>
    </w:p>
    <w:p w14:paraId="3FA50FCC" w14:textId="77777777" w:rsidR="00765B0E" w:rsidRPr="0011138A" w:rsidRDefault="00765B0E" w:rsidP="0065195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ОПРЕДЕЛИЛА:</w:t>
      </w:r>
    </w:p>
    <w:p w14:paraId="3A5BCBC4" w14:textId="77777777" w:rsidR="00765B0E" w:rsidRPr="0011138A" w:rsidRDefault="00765B0E" w:rsidP="00651953">
      <w:pPr>
        <w:autoSpaceDE w:val="0"/>
        <w:autoSpaceDN w:val="0"/>
        <w:adjustRightInd w:val="0"/>
        <w:spacing w:after="0" w:line="240" w:lineRule="auto"/>
        <w:ind w:left="708"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EA5030E" w14:textId="77777777" w:rsidR="00765B0E" w:rsidRPr="0011138A" w:rsidRDefault="00765B0E" w:rsidP="0065195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Решение</w:t>
      </w:r>
      <w:r w:rsidR="005B00AA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62691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Гагаринского районного суда г. Москвы от </w:t>
      </w:r>
      <w:r w:rsidR="004116F1">
        <w:rPr>
          <w:rFonts w:ascii="Times New Roman" w:eastAsia="Times New Roman" w:hAnsi="Times New Roman"/>
          <w:sz w:val="24"/>
          <w:szCs w:val="24"/>
          <w:lang w:eastAsia="ru-RU"/>
        </w:rPr>
        <w:t xml:space="preserve">20 ноября 2015 года </w:t>
      </w:r>
      <w:r w:rsidR="00662691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>оставить без изменения, апелляционную жалобу</w:t>
      </w:r>
      <w:r w:rsidR="00662691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E5600" w:rsidRPr="0011138A">
        <w:rPr>
          <w:rFonts w:ascii="Times New Roman" w:eastAsia="Times New Roman" w:hAnsi="Times New Roman"/>
          <w:sz w:val="24"/>
          <w:szCs w:val="24"/>
          <w:lang w:eastAsia="ru-RU"/>
        </w:rPr>
        <w:t>представителя</w:t>
      </w:r>
      <w:r w:rsidR="004116F1">
        <w:rPr>
          <w:rFonts w:ascii="Times New Roman" w:eastAsia="Times New Roman" w:hAnsi="Times New Roman"/>
          <w:sz w:val="24"/>
          <w:szCs w:val="24"/>
          <w:lang w:eastAsia="ru-RU"/>
        </w:rPr>
        <w:t xml:space="preserve"> Колягина– Козлова– </w:t>
      </w:r>
      <w:r w:rsidR="00135950"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1138A">
        <w:rPr>
          <w:rFonts w:ascii="Times New Roman" w:eastAsia="Times New Roman" w:hAnsi="Times New Roman"/>
          <w:sz w:val="24"/>
          <w:szCs w:val="24"/>
          <w:lang w:eastAsia="ru-RU"/>
        </w:rPr>
        <w:t xml:space="preserve">без удовлетворения. </w:t>
      </w:r>
    </w:p>
    <w:p w14:paraId="4B731CA8" w14:textId="77777777" w:rsidR="000F2905" w:rsidRPr="0011138A" w:rsidRDefault="000F2905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A1F3A84" w14:textId="77777777" w:rsidR="005E01F9" w:rsidRPr="0011138A" w:rsidRDefault="005E01F9" w:rsidP="0065195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14997E" w14:textId="77777777" w:rsidR="00765B0E" w:rsidRPr="0011138A" w:rsidRDefault="00765B0E" w:rsidP="001113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Председательствующий:</w:t>
      </w:r>
    </w:p>
    <w:p w14:paraId="205151D0" w14:textId="77777777" w:rsidR="00765B0E" w:rsidRPr="0011138A" w:rsidRDefault="00765B0E" w:rsidP="0011138A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6ABC66A3" w14:textId="77777777" w:rsidR="00765B0E" w:rsidRPr="0011138A" w:rsidRDefault="00765B0E" w:rsidP="0011138A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8BA5F65" w14:textId="77777777" w:rsidR="00765B0E" w:rsidRPr="0011138A" w:rsidRDefault="00765B0E" w:rsidP="001113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1138A">
        <w:rPr>
          <w:rFonts w:ascii="Times New Roman" w:eastAsia="Times New Roman" w:hAnsi="Times New Roman"/>
          <w:b/>
          <w:sz w:val="24"/>
          <w:szCs w:val="24"/>
          <w:lang w:eastAsia="ru-RU"/>
        </w:rPr>
        <w:t>Судьи</w:t>
      </w:r>
      <w:r w:rsidR="00662691" w:rsidRPr="0011138A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00EA79EA" w14:textId="77777777" w:rsidR="00765B0E" w:rsidRPr="0011138A" w:rsidRDefault="00765B0E" w:rsidP="0011138A">
      <w:pPr>
        <w:autoSpaceDE w:val="0"/>
        <w:autoSpaceDN w:val="0"/>
        <w:adjustRightInd w:val="0"/>
        <w:spacing w:after="0" w:line="240" w:lineRule="auto"/>
        <w:ind w:firstLine="691"/>
        <w:jc w:val="both"/>
        <w:rPr>
          <w:rFonts w:ascii="Times New Roman" w:hAnsi="Times New Roman"/>
          <w:sz w:val="24"/>
          <w:szCs w:val="24"/>
        </w:rPr>
      </w:pPr>
    </w:p>
    <w:p w14:paraId="3E53BFC7" w14:textId="77777777" w:rsidR="006E51DC" w:rsidRPr="0011138A" w:rsidRDefault="006E51DC" w:rsidP="0011138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E51DC" w:rsidRPr="0011138A" w:rsidSect="00B5709A">
      <w:headerReference w:type="even" r:id="rId19"/>
      <w:footerReference w:type="first" r:id="rId20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79FF7" w14:textId="77777777" w:rsidR="00FE18F6" w:rsidRDefault="00FE18F6">
      <w:pPr>
        <w:spacing w:after="0" w:line="240" w:lineRule="auto"/>
      </w:pPr>
      <w:r>
        <w:separator/>
      </w:r>
    </w:p>
  </w:endnote>
  <w:endnote w:type="continuationSeparator" w:id="0">
    <w:p w14:paraId="4D4E62CE" w14:textId="77777777" w:rsidR="00FE18F6" w:rsidRDefault="00FE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A980" w14:textId="77777777" w:rsidR="00AF2885" w:rsidRDefault="00AF2885">
    <w:pPr>
      <w:pStyle w:val="a6"/>
      <w:jc w:val="right"/>
    </w:pPr>
  </w:p>
  <w:p w14:paraId="33627CED" w14:textId="77777777" w:rsidR="00AF2885" w:rsidRDefault="00AF2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10DC" w14:textId="77777777" w:rsidR="00FE18F6" w:rsidRDefault="00FE18F6">
      <w:pPr>
        <w:spacing w:after="0" w:line="240" w:lineRule="auto"/>
      </w:pPr>
      <w:r>
        <w:separator/>
      </w:r>
    </w:p>
  </w:footnote>
  <w:footnote w:type="continuationSeparator" w:id="0">
    <w:p w14:paraId="3EAED845" w14:textId="77777777" w:rsidR="00FE18F6" w:rsidRDefault="00FE1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2F765" w14:textId="77777777" w:rsidR="00AF2885" w:rsidRDefault="00AF288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099E48" w14:textId="77777777" w:rsidR="00AF2885" w:rsidRDefault="00AF28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4CAD"/>
    <w:multiLevelType w:val="singleLevel"/>
    <w:tmpl w:val="F8D215CE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8483D84"/>
    <w:multiLevelType w:val="singleLevel"/>
    <w:tmpl w:val="6C72AFFA"/>
    <w:lvl w:ilvl="0">
      <w:start w:val="3"/>
      <w:numFmt w:val="decimal"/>
      <w:lvlText w:val="%1)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01144B"/>
    <w:rsid w:val="0001579A"/>
    <w:rsid w:val="00016220"/>
    <w:rsid w:val="00025290"/>
    <w:rsid w:val="0004787A"/>
    <w:rsid w:val="0005098A"/>
    <w:rsid w:val="0006056B"/>
    <w:rsid w:val="00060A5A"/>
    <w:rsid w:val="00060D4A"/>
    <w:rsid w:val="00073DC4"/>
    <w:rsid w:val="00081135"/>
    <w:rsid w:val="00085E83"/>
    <w:rsid w:val="00090D64"/>
    <w:rsid w:val="000911B9"/>
    <w:rsid w:val="000A5818"/>
    <w:rsid w:val="000B1B5C"/>
    <w:rsid w:val="000D603C"/>
    <w:rsid w:val="000F2905"/>
    <w:rsid w:val="000F7804"/>
    <w:rsid w:val="0011138A"/>
    <w:rsid w:val="0012566C"/>
    <w:rsid w:val="001264E4"/>
    <w:rsid w:val="00135950"/>
    <w:rsid w:val="00136D80"/>
    <w:rsid w:val="0014088E"/>
    <w:rsid w:val="00140B37"/>
    <w:rsid w:val="00143671"/>
    <w:rsid w:val="00150544"/>
    <w:rsid w:val="00151411"/>
    <w:rsid w:val="00175FD3"/>
    <w:rsid w:val="001C3338"/>
    <w:rsid w:val="001C631C"/>
    <w:rsid w:val="001F4635"/>
    <w:rsid w:val="002414F6"/>
    <w:rsid w:val="00255271"/>
    <w:rsid w:val="00256DA1"/>
    <w:rsid w:val="00262CC2"/>
    <w:rsid w:val="0027403A"/>
    <w:rsid w:val="00280DBF"/>
    <w:rsid w:val="00292313"/>
    <w:rsid w:val="002A4D03"/>
    <w:rsid w:val="002A5F36"/>
    <w:rsid w:val="002B0544"/>
    <w:rsid w:val="002C40EE"/>
    <w:rsid w:val="002F58CC"/>
    <w:rsid w:val="00306818"/>
    <w:rsid w:val="00311647"/>
    <w:rsid w:val="0031392E"/>
    <w:rsid w:val="00315178"/>
    <w:rsid w:val="00317307"/>
    <w:rsid w:val="00321BAB"/>
    <w:rsid w:val="0032210D"/>
    <w:rsid w:val="003242B6"/>
    <w:rsid w:val="0036148C"/>
    <w:rsid w:val="003649EF"/>
    <w:rsid w:val="00370F49"/>
    <w:rsid w:val="00384F3E"/>
    <w:rsid w:val="00386D32"/>
    <w:rsid w:val="003A6076"/>
    <w:rsid w:val="003E2421"/>
    <w:rsid w:val="003E7F6B"/>
    <w:rsid w:val="003F0B11"/>
    <w:rsid w:val="003F42B8"/>
    <w:rsid w:val="004116F1"/>
    <w:rsid w:val="004247E1"/>
    <w:rsid w:val="0043030E"/>
    <w:rsid w:val="00453501"/>
    <w:rsid w:val="004B038D"/>
    <w:rsid w:val="004C3195"/>
    <w:rsid w:val="004E580E"/>
    <w:rsid w:val="004F1AB2"/>
    <w:rsid w:val="004F62EF"/>
    <w:rsid w:val="00505AA2"/>
    <w:rsid w:val="00510168"/>
    <w:rsid w:val="00512C9B"/>
    <w:rsid w:val="005155BC"/>
    <w:rsid w:val="00516832"/>
    <w:rsid w:val="00553756"/>
    <w:rsid w:val="00562F55"/>
    <w:rsid w:val="0057541D"/>
    <w:rsid w:val="005816C2"/>
    <w:rsid w:val="0058215B"/>
    <w:rsid w:val="005860CF"/>
    <w:rsid w:val="005913A8"/>
    <w:rsid w:val="005B00AA"/>
    <w:rsid w:val="005B79C7"/>
    <w:rsid w:val="005D5C4B"/>
    <w:rsid w:val="005D7C2C"/>
    <w:rsid w:val="005E01F9"/>
    <w:rsid w:val="005E26DE"/>
    <w:rsid w:val="006350B8"/>
    <w:rsid w:val="00636450"/>
    <w:rsid w:val="00651953"/>
    <w:rsid w:val="00652289"/>
    <w:rsid w:val="00653B7C"/>
    <w:rsid w:val="00660D27"/>
    <w:rsid w:val="00662691"/>
    <w:rsid w:val="00670ED0"/>
    <w:rsid w:val="006A5C9D"/>
    <w:rsid w:val="006B2F5B"/>
    <w:rsid w:val="006B3A3F"/>
    <w:rsid w:val="006B5647"/>
    <w:rsid w:val="006D6403"/>
    <w:rsid w:val="006E51DC"/>
    <w:rsid w:val="006F0DFC"/>
    <w:rsid w:val="006F1E13"/>
    <w:rsid w:val="007053B2"/>
    <w:rsid w:val="007129A6"/>
    <w:rsid w:val="00714BC0"/>
    <w:rsid w:val="0072777E"/>
    <w:rsid w:val="00730C71"/>
    <w:rsid w:val="00735DBF"/>
    <w:rsid w:val="007424BC"/>
    <w:rsid w:val="00742C13"/>
    <w:rsid w:val="0075626A"/>
    <w:rsid w:val="0076576A"/>
    <w:rsid w:val="00765B0E"/>
    <w:rsid w:val="00780070"/>
    <w:rsid w:val="00796FE2"/>
    <w:rsid w:val="007B1EC4"/>
    <w:rsid w:val="007C210A"/>
    <w:rsid w:val="007C3ACD"/>
    <w:rsid w:val="007D48FD"/>
    <w:rsid w:val="007F5D0A"/>
    <w:rsid w:val="00871F1B"/>
    <w:rsid w:val="008940A3"/>
    <w:rsid w:val="008A5192"/>
    <w:rsid w:val="008D7EDC"/>
    <w:rsid w:val="008E5600"/>
    <w:rsid w:val="008F07AA"/>
    <w:rsid w:val="00920B56"/>
    <w:rsid w:val="0093642E"/>
    <w:rsid w:val="00946EC1"/>
    <w:rsid w:val="009662FC"/>
    <w:rsid w:val="00972C7D"/>
    <w:rsid w:val="0097701C"/>
    <w:rsid w:val="00982F13"/>
    <w:rsid w:val="00986FEA"/>
    <w:rsid w:val="009959BB"/>
    <w:rsid w:val="009A4203"/>
    <w:rsid w:val="009B31E9"/>
    <w:rsid w:val="009C0708"/>
    <w:rsid w:val="009D5B56"/>
    <w:rsid w:val="009E0F62"/>
    <w:rsid w:val="009E0FF8"/>
    <w:rsid w:val="00A04B11"/>
    <w:rsid w:val="00A07258"/>
    <w:rsid w:val="00A11E5C"/>
    <w:rsid w:val="00A11FE0"/>
    <w:rsid w:val="00A257ED"/>
    <w:rsid w:val="00A51926"/>
    <w:rsid w:val="00A52761"/>
    <w:rsid w:val="00A807B8"/>
    <w:rsid w:val="00AA3C7A"/>
    <w:rsid w:val="00AD3DFE"/>
    <w:rsid w:val="00AE15A5"/>
    <w:rsid w:val="00AE361C"/>
    <w:rsid w:val="00AF2086"/>
    <w:rsid w:val="00AF2885"/>
    <w:rsid w:val="00AF58E6"/>
    <w:rsid w:val="00B01147"/>
    <w:rsid w:val="00B108B2"/>
    <w:rsid w:val="00B1142A"/>
    <w:rsid w:val="00B15967"/>
    <w:rsid w:val="00B15B9A"/>
    <w:rsid w:val="00B24316"/>
    <w:rsid w:val="00B445A9"/>
    <w:rsid w:val="00B5709A"/>
    <w:rsid w:val="00B625CB"/>
    <w:rsid w:val="00B92449"/>
    <w:rsid w:val="00B96871"/>
    <w:rsid w:val="00BC32DA"/>
    <w:rsid w:val="00BC334E"/>
    <w:rsid w:val="00BE683D"/>
    <w:rsid w:val="00BF29EF"/>
    <w:rsid w:val="00C24D57"/>
    <w:rsid w:val="00C27BFC"/>
    <w:rsid w:val="00C3613A"/>
    <w:rsid w:val="00C41321"/>
    <w:rsid w:val="00C4334D"/>
    <w:rsid w:val="00C91055"/>
    <w:rsid w:val="00CD3E52"/>
    <w:rsid w:val="00D208D1"/>
    <w:rsid w:val="00D24DE8"/>
    <w:rsid w:val="00D52ED5"/>
    <w:rsid w:val="00D648E7"/>
    <w:rsid w:val="00D7120E"/>
    <w:rsid w:val="00D841C5"/>
    <w:rsid w:val="00DA20ED"/>
    <w:rsid w:val="00DA73E6"/>
    <w:rsid w:val="00DC0BA3"/>
    <w:rsid w:val="00DD60F8"/>
    <w:rsid w:val="00DE6A6F"/>
    <w:rsid w:val="00DF014B"/>
    <w:rsid w:val="00E24BCA"/>
    <w:rsid w:val="00EA0324"/>
    <w:rsid w:val="00EB71B5"/>
    <w:rsid w:val="00ED0D48"/>
    <w:rsid w:val="00ED0E5A"/>
    <w:rsid w:val="00ED7EE7"/>
    <w:rsid w:val="00F00EAF"/>
    <w:rsid w:val="00F06063"/>
    <w:rsid w:val="00F13A98"/>
    <w:rsid w:val="00F16A83"/>
    <w:rsid w:val="00F30068"/>
    <w:rsid w:val="00F51A69"/>
    <w:rsid w:val="00F553A7"/>
    <w:rsid w:val="00F65FFA"/>
    <w:rsid w:val="00F74149"/>
    <w:rsid w:val="00F755A1"/>
    <w:rsid w:val="00F80D21"/>
    <w:rsid w:val="00FA6A85"/>
    <w:rsid w:val="00FB30E2"/>
    <w:rsid w:val="00FD23CD"/>
    <w:rsid w:val="00FE18F6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0EBC907B"/>
  <w15:chartTrackingRefBased/>
  <w15:docId w15:val="{7B07DCA7-0499-42D4-9B3A-180FFE62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Normal (Web)"/>
    <w:basedOn w:val="a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a0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a9">
    <w:name w:val="Hyperlink"/>
    <w:uiPriority w:val="99"/>
    <w:semiHidden/>
    <w:unhideWhenUsed/>
    <w:rsid w:val="00765B0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6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649EF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135950"/>
    <w:pPr>
      <w:autoSpaceDE w:val="0"/>
      <w:autoSpaceDN w:val="0"/>
      <w:adjustRightInd w:val="0"/>
    </w:pPr>
    <w:rPr>
      <w:rFonts w:cs="Calibri"/>
      <w:sz w:val="24"/>
      <w:szCs w:val="24"/>
      <w:lang w:val="ru-RU" w:eastAsia="ru-RU"/>
    </w:rPr>
  </w:style>
  <w:style w:type="paragraph" w:styleId="ac">
    <w:name w:val="No Spacing"/>
    <w:uiPriority w:val="1"/>
    <w:qFormat/>
    <w:rsid w:val="005816C2"/>
    <w:rPr>
      <w:sz w:val="22"/>
      <w:szCs w:val="22"/>
      <w:lang w:val="ru-RU" w:eastAsia="en-US"/>
    </w:rPr>
  </w:style>
  <w:style w:type="paragraph" w:styleId="2">
    <w:name w:val="Body Text 2"/>
    <w:basedOn w:val="a"/>
    <w:link w:val="20"/>
    <w:unhideWhenUsed/>
    <w:rsid w:val="00B625CB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2 Знак"/>
    <w:link w:val="2"/>
    <w:rsid w:val="00B625C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AC5CE1C2A39D9F6B8164EF787913E6C1E8D64D5982A984D601C98AE4AE38A8972865D5226qDE3L" TargetMode="External"/><Relationship Id="rId13" Type="http://schemas.openxmlformats.org/officeDocument/2006/relationships/hyperlink" Target="consultantplus://offline/ref=78C4F8DDBBA2302E3C172FD57D82C285DD1CA6C1EB3AE7AA2A2DCA8C760BC5049F6E3E713FE81C96IBo6L" TargetMode="External"/><Relationship Id="rId18" Type="http://schemas.openxmlformats.org/officeDocument/2006/relationships/hyperlink" Target="consultantplus://offline/ref=78C4F8DDBBA2302E3C172FD57D82C285DD1CA6C1EB3AE7AA2A2DCA8C760BC5049F6E3E723EIEoC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consultantplus://offline/ref=5AC5CE1C2A39D9F6B8164EF787913E6C1E8D64D5982A984D601C98AE4AE38A8972865D5127D74A39q2EBL" TargetMode="External"/><Relationship Id="rId12" Type="http://schemas.openxmlformats.org/officeDocument/2006/relationships/hyperlink" Target="consultantplus://offline/ref=78C4F8DDBBA2302E3C172FD57D82C285DD1CA6C1EB3AE7AA2A2DCA8C760BC5049F6E3E713FE81E96IBo0L" TargetMode="External"/><Relationship Id="rId17" Type="http://schemas.openxmlformats.org/officeDocument/2006/relationships/hyperlink" Target="consultantplus://offline/ref=19F5FB48342174C05DBD62F5F3DC3462E0553D292353788ED03E00515CC32438D3D1EE1BACNF6FJ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78C4F8DDBBA2302E3C172FD57D82C285DD1CA6C1EB3AE7AA2A2DCA8C760BC5049F6E3E713FE81C9AIBo7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8C4F8DDBBA2302E3C172FD57D82C285DD1CA6C1EB3AE7AA2A2DCA8C760BC5049F6E3E713FE81E93IBo9L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78C4F8DDBBA2302E3C172FD57D82C285DD1CA6C1EB3AE7AA2A2DCA8C760BC5049F6E3E713FE81C94IBo6L" TargetMode="External"/><Relationship Id="rId10" Type="http://schemas.openxmlformats.org/officeDocument/2006/relationships/hyperlink" Target="consultantplus://offline/ref=78C4F8DDBBA2302E3C172FD57D82C285DD1CA6C1EB3AE7AA2A2DCA8C760BC5049F6E3E713FE81792IBo3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4F8DDBBA2302E3C172FD57D82C285D81EA6C7EF39BAA02274C68EI7o1L" TargetMode="External"/><Relationship Id="rId14" Type="http://schemas.openxmlformats.org/officeDocument/2006/relationships/hyperlink" Target="consultantplus://offline/ref=78C4F8DDBBA2302E3C172FD57D82C285DD1CA6C1EB3AE7AA2A2DCA8C760BC5049F6E3E713FE81C94IBo2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19754</CharactersWithSpaces>
  <SharedDoc>false</SharedDoc>
  <HLinks>
    <vt:vector size="72" baseType="variant">
      <vt:variant>
        <vt:i4>4718674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consultantplus://offline/ref=78C4F8DDBBA2302E3C172FD57D82C285DD1CA6C1EB3AE7AA2A2DCA8C760BC5049F6E3E723EIEoCL</vt:lpwstr>
      </vt:variant>
      <vt:variant>
        <vt:lpwstr/>
      </vt:variant>
      <vt:variant>
        <vt:i4>5177356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consultantplus://offline/ref=19F5FB48342174C05DBD62F5F3DC3462E0553D292353788ED03E00515CC32438D3D1EE1BACNF6FJ</vt:lpwstr>
      </vt:variant>
      <vt:variant>
        <vt:lpwstr/>
      </vt:variant>
      <vt:variant>
        <vt:i4>2424891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consultantplus://offline/ref=78C4F8DDBBA2302E3C172FD57D82C285DD1CA6C1EB3AE7AA2A2DCA8C760BC5049F6E3E713FE81C9AIBo7L</vt:lpwstr>
      </vt:variant>
      <vt:variant>
        <vt:lpwstr/>
      </vt:variant>
      <vt:variant>
        <vt:i4>2424943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consultantplus://offline/ref=78C4F8DDBBA2302E3C172FD57D82C285DD1CA6C1EB3AE7AA2A2DCA8C760BC5049F6E3E713FE81C94IBo6L</vt:lpwstr>
      </vt:variant>
      <vt:variant>
        <vt:lpwstr/>
      </vt:variant>
      <vt:variant>
        <vt:i4>2424939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consultantplus://offline/ref=78C4F8DDBBA2302E3C172FD57D82C285DD1CA6C1EB3AE7AA2A2DCA8C760BC5049F6E3E713FE81C94IBo2L</vt:lpwstr>
      </vt:variant>
      <vt:variant>
        <vt:lpwstr/>
      </vt:variant>
      <vt:variant>
        <vt:i4>2424941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consultantplus://offline/ref=78C4F8DDBBA2302E3C172FD57D82C285DD1CA6C1EB3AE7AA2A2DCA8C760BC5049F6E3E713FE81C96IBo6L</vt:lpwstr>
      </vt:variant>
      <vt:variant>
        <vt:lpwstr/>
      </vt:variant>
      <vt:variant>
        <vt:i4>2424941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consultantplus://offline/ref=78C4F8DDBBA2302E3C172FD57D82C285DD1CA6C1EB3AE7AA2A2DCA8C760BC5049F6E3E713FE81E96IBo0L</vt:lpwstr>
      </vt:variant>
      <vt:variant>
        <vt:lpwstr/>
      </vt:variant>
      <vt:variant>
        <vt:i4>2424929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consultantplus://offline/ref=78C4F8DDBBA2302E3C172FD57D82C285DD1CA6C1EB3AE7AA2A2DCA8C760BC5049F6E3E713FE81E93IBo9L</vt:lpwstr>
      </vt:variant>
      <vt:variant>
        <vt:lpwstr/>
      </vt:variant>
      <vt:variant>
        <vt:i4>2424888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consultantplus://offline/ref=78C4F8DDBBA2302E3C172FD57D82C285DD1CA6C1EB3AE7AA2A2DCA8C760BC5049F6E3E713FE81792IBo3L</vt:lpwstr>
      </vt:variant>
      <vt:variant>
        <vt:lpwstr/>
      </vt:variant>
      <vt:variant>
        <vt:i4>2490467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consultantplus://offline/ref=78C4F8DDBBA2302E3C172FD57D82C285D81EA6C7EF39BAA02274C68EI7o1L</vt:lpwstr>
      </vt:variant>
      <vt:variant>
        <vt:lpwstr/>
      </vt:variant>
      <vt:variant>
        <vt:i4>5242890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consultantplus://offline/ref=5AC5CE1C2A39D9F6B8164EF787913E6C1E8D64D5982A984D601C98AE4AE38A8972865D5226qDE3L</vt:lpwstr>
      </vt:variant>
      <vt:variant>
        <vt:lpwstr/>
      </vt:variant>
      <vt:variant>
        <vt:i4>3342432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consultantplus://offline/ref=5AC5CE1C2A39D9F6B8164EF787913E6C1E8D64D5982A984D601C98AE4AE38A8972865D5127D74A39q2EBL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Батюева</dc:creator>
  <cp:keywords/>
  <cp:lastModifiedBy>Борис Разумовский</cp:lastModifiedBy>
  <cp:revision>2</cp:revision>
  <cp:lastPrinted>2016-02-02T13:52:00Z</cp:lastPrinted>
  <dcterms:created xsi:type="dcterms:W3CDTF">2024-04-10T21:33:00Z</dcterms:created>
  <dcterms:modified xsi:type="dcterms:W3CDTF">2024-04-10T21:33:00Z</dcterms:modified>
</cp:coreProperties>
</file>