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66C71" w14:textId="77777777" w:rsidR="00C369FE" w:rsidRPr="006029FF" w:rsidRDefault="006A088E" w:rsidP="00757EE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6029FF">
        <w:rPr>
          <w:rFonts w:ascii="Times New Roman" w:hAnsi="Times New Roman"/>
          <w:sz w:val="28"/>
          <w:szCs w:val="28"/>
          <w:highlight w:val="white"/>
        </w:rPr>
        <w:t>Судья: Петрова В.И.</w:t>
      </w:r>
    </w:p>
    <w:p w14:paraId="236B093D" w14:textId="77777777" w:rsidR="00C369FE" w:rsidRPr="006029FF" w:rsidRDefault="006A088E" w:rsidP="00757EE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029FF">
        <w:rPr>
          <w:rFonts w:ascii="Times New Roman" w:hAnsi="Times New Roman"/>
          <w:sz w:val="28"/>
          <w:szCs w:val="28"/>
          <w:highlight w:val="white"/>
        </w:rPr>
        <w:t>Гр.д. №33-38566</w:t>
      </w:r>
    </w:p>
    <w:p w14:paraId="5C4E28FF" w14:textId="77777777" w:rsidR="00C369FE" w:rsidRPr="006029FF" w:rsidRDefault="006A088E" w:rsidP="00757EEF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029FF">
        <w:rPr>
          <w:rFonts w:ascii="Times New Roman" w:hAnsi="Times New Roman"/>
          <w:b/>
          <w:sz w:val="28"/>
          <w:szCs w:val="28"/>
          <w:highlight w:val="white"/>
        </w:rPr>
        <w:t>АПЕЛЛЯЦИОННОЕ ОПРЕДЕЛЕНИЕ</w:t>
      </w:r>
    </w:p>
    <w:p w14:paraId="3D87B58C" w14:textId="77777777" w:rsidR="00C369FE" w:rsidRPr="006029FF" w:rsidRDefault="006A088E" w:rsidP="00757EE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1A4C9FD1" w14:textId="77777777" w:rsidR="00C369FE" w:rsidRPr="006029FF" w:rsidRDefault="006A088E" w:rsidP="00757EE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029FF">
        <w:rPr>
          <w:rFonts w:ascii="Times New Roman" w:hAnsi="Times New Roman"/>
          <w:sz w:val="28"/>
          <w:szCs w:val="28"/>
          <w:highlight w:val="white"/>
        </w:rPr>
        <w:t>30 сентября 2016 года Судебная коллегия по гражданским делам Московского городского суда в составе председательствующего судьи Салтыковой Л.В., судей Гончаровой О.С., Грибовой Е.Н., при секрета</w:t>
      </w:r>
      <w:r w:rsidRPr="006029FF">
        <w:rPr>
          <w:rFonts w:ascii="Times New Roman" w:hAnsi="Times New Roman"/>
          <w:sz w:val="28"/>
          <w:szCs w:val="28"/>
          <w:highlight w:val="white"/>
        </w:rPr>
        <w:t xml:space="preserve">ре Игнатовой Е.А., рассмотрев в открытом судебном заседании по докладу судьи Гончаровой О.С. гражданское дело по апелляционной жалобе </w:t>
      </w:r>
      <w:r w:rsidRPr="006029FF">
        <w:rPr>
          <w:rFonts w:ascii="Times New Roman" w:hAnsi="Times New Roman"/>
          <w:sz w:val="28"/>
          <w:szCs w:val="28"/>
          <w:highlight w:val="white"/>
        </w:rPr>
        <w:t xml:space="preserve">истца Толмачева Л.М. </w:t>
      </w:r>
      <w:r w:rsidRPr="006029FF">
        <w:rPr>
          <w:rFonts w:ascii="Times New Roman" w:hAnsi="Times New Roman"/>
          <w:sz w:val="28"/>
          <w:szCs w:val="28"/>
          <w:highlight w:val="white"/>
        </w:rPr>
        <w:t xml:space="preserve">на решение </w:t>
      </w:r>
      <w:r w:rsidRPr="006029FF">
        <w:rPr>
          <w:rFonts w:ascii="Times New Roman" w:hAnsi="Times New Roman"/>
          <w:sz w:val="28"/>
          <w:szCs w:val="28"/>
          <w:highlight w:val="white"/>
        </w:rPr>
        <w:t>Коптевского</w:t>
      </w:r>
      <w:r w:rsidRPr="006029FF">
        <w:rPr>
          <w:rFonts w:ascii="Times New Roman" w:hAnsi="Times New Roman"/>
          <w:sz w:val="28"/>
          <w:szCs w:val="28"/>
          <w:highlight w:val="white"/>
        </w:rPr>
        <w:t xml:space="preserve"> районного суда г. Москвы </w:t>
      </w:r>
      <w:r w:rsidRPr="006029FF">
        <w:rPr>
          <w:rFonts w:ascii="Times New Roman" w:hAnsi="Times New Roman"/>
          <w:sz w:val="28"/>
          <w:szCs w:val="28"/>
          <w:highlight w:val="white"/>
        </w:rPr>
        <w:t>30 июня 2016</w:t>
      </w:r>
      <w:r w:rsidRPr="006029FF">
        <w:rPr>
          <w:rFonts w:ascii="Times New Roman" w:hAnsi="Times New Roman"/>
          <w:sz w:val="28"/>
          <w:szCs w:val="28"/>
          <w:highlight w:val="white"/>
        </w:rPr>
        <w:t xml:space="preserve"> года, которым постановлено: </w:t>
      </w:r>
    </w:p>
    <w:p w14:paraId="089BD43E" w14:textId="77777777" w:rsidR="00C369FE" w:rsidRPr="006029FF" w:rsidRDefault="006A088E" w:rsidP="00757EE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029FF">
        <w:rPr>
          <w:rFonts w:ascii="Times New Roman" w:hAnsi="Times New Roman"/>
          <w:sz w:val="28"/>
          <w:szCs w:val="28"/>
          <w:highlight w:val="white"/>
        </w:rPr>
        <w:t xml:space="preserve">- </w:t>
      </w:r>
      <w:r w:rsidRPr="006029FF">
        <w:rPr>
          <w:rFonts w:ascii="Times New Roman" w:hAnsi="Times New Roman"/>
          <w:sz w:val="28"/>
          <w:szCs w:val="28"/>
          <w:highlight w:val="white"/>
        </w:rPr>
        <w:t>В удовлет</w:t>
      </w:r>
      <w:r w:rsidRPr="006029FF">
        <w:rPr>
          <w:rFonts w:ascii="Times New Roman" w:hAnsi="Times New Roman"/>
          <w:sz w:val="28"/>
          <w:szCs w:val="28"/>
          <w:highlight w:val="white"/>
        </w:rPr>
        <w:t>ворении требований Толмачева Л</w:t>
      </w:r>
      <w:r>
        <w:rPr>
          <w:rFonts w:ascii="Times New Roman" w:hAnsi="Times New Roman"/>
          <w:sz w:val="28"/>
          <w:szCs w:val="28"/>
          <w:highlight w:val="white"/>
        </w:rPr>
        <w:t>.</w:t>
      </w:r>
      <w:r w:rsidRPr="006029FF">
        <w:rPr>
          <w:rFonts w:ascii="Times New Roman" w:hAnsi="Times New Roman"/>
          <w:sz w:val="28"/>
          <w:szCs w:val="28"/>
          <w:highlight w:val="white"/>
        </w:rPr>
        <w:t>М</w:t>
      </w:r>
      <w:r>
        <w:rPr>
          <w:rFonts w:ascii="Times New Roman" w:hAnsi="Times New Roman"/>
          <w:sz w:val="28"/>
          <w:szCs w:val="28"/>
          <w:highlight w:val="white"/>
        </w:rPr>
        <w:t>.</w:t>
      </w:r>
      <w:r w:rsidRPr="006029FF">
        <w:rPr>
          <w:rFonts w:ascii="Times New Roman" w:hAnsi="Times New Roman"/>
          <w:sz w:val="28"/>
          <w:szCs w:val="28"/>
          <w:highlight w:val="white"/>
        </w:rPr>
        <w:t xml:space="preserve"> к ООО СК «Сбербанк страхование жизни», ПАО «Сбербанк России» о признании договоров страхования жизни недействительным</w:t>
      </w:r>
      <w:r>
        <w:rPr>
          <w:rFonts w:ascii="Times New Roman" w:hAnsi="Times New Roman"/>
          <w:sz w:val="28"/>
          <w:szCs w:val="28"/>
          <w:highlight w:val="white"/>
        </w:rPr>
        <w:t>и</w:t>
      </w:r>
      <w:r w:rsidRPr="006029FF">
        <w:rPr>
          <w:rFonts w:ascii="Times New Roman" w:hAnsi="Times New Roman"/>
          <w:sz w:val="28"/>
          <w:szCs w:val="28"/>
          <w:highlight w:val="white"/>
        </w:rPr>
        <w:t>, взыскании денежных средств, судебных расходов, штрафа отказать</w:t>
      </w:r>
      <w:r w:rsidRPr="006029FF">
        <w:rPr>
          <w:rFonts w:ascii="Times New Roman" w:hAnsi="Times New Roman"/>
          <w:sz w:val="28"/>
          <w:szCs w:val="28"/>
          <w:highlight w:val="white"/>
        </w:rPr>
        <w:t>,</w:t>
      </w:r>
    </w:p>
    <w:p w14:paraId="5D2A14A8" w14:textId="77777777" w:rsidR="00F072D8" w:rsidRPr="006029FF" w:rsidRDefault="006A088E" w:rsidP="00757EE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2674B79" w14:textId="77777777" w:rsidR="00C369FE" w:rsidRPr="006029FF" w:rsidRDefault="006A088E" w:rsidP="00757EEF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6029FF">
        <w:rPr>
          <w:rFonts w:ascii="Times New Roman" w:hAnsi="Times New Roman"/>
          <w:sz w:val="28"/>
          <w:szCs w:val="28"/>
          <w:highlight w:val="white"/>
        </w:rPr>
        <w:t>УСТАНОВИЛА:</w:t>
      </w:r>
    </w:p>
    <w:p w14:paraId="3FC71DA6" w14:textId="77777777" w:rsidR="00C369FE" w:rsidRPr="006029FF" w:rsidRDefault="006A088E" w:rsidP="00757EEF">
      <w:pPr>
        <w:pStyle w:val="ConsPlusNormal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C94817" w14:textId="77777777" w:rsidR="00C369FE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Толмачев Л.М. обратился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в суд с исковым заявлением к ООО СК «Сбербанк страхование жизни», ПАО «Сбербанк России» о признании договоров страхования жизни недействительным</w:t>
      </w:r>
      <w:r>
        <w:rPr>
          <w:rFonts w:ascii="Times New Roman" w:hAnsi="Times New Roman" w:cs="Times New Roman"/>
          <w:sz w:val="28"/>
          <w:szCs w:val="28"/>
          <w:highlight w:val="white"/>
        </w:rPr>
        <w:t>и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, взыскании денежных средств, судебных расходов, штрафа. В обоснование своих требований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указал, что  между ним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и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ООО СК «Сбербанк страхование жизни» были заключены договоры страхования жизни «СмартПолис», «Семейный актив». Истец указал, что является вкладчиком ОАО «Сбербанк России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о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тделение расположенное по адресу: </w:t>
      </w:r>
      <w:r>
        <w:rPr>
          <w:rFonts w:ascii="Times New Roman" w:hAnsi="Times New Roman"/>
          <w:sz w:val="28"/>
          <w:szCs w:val="28"/>
          <w:highlight w:val="white"/>
        </w:rPr>
        <w:t>&lt;…&gt;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) и </w:t>
      </w:r>
      <w:r>
        <w:rPr>
          <w:rFonts w:ascii="Times New Roman" w:hAnsi="Times New Roman"/>
          <w:sz w:val="28"/>
          <w:szCs w:val="28"/>
          <w:highlight w:val="white"/>
        </w:rPr>
        <w:t>&lt;…&gt;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года ему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по телефону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позвонил со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т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рудн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ик Сбербанка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и пригласил в офис для переоформления договора вклада. </w:t>
      </w:r>
      <w:r>
        <w:rPr>
          <w:rFonts w:ascii="Times New Roman" w:hAnsi="Times New Roman"/>
          <w:sz w:val="28"/>
          <w:szCs w:val="28"/>
          <w:highlight w:val="white"/>
        </w:rPr>
        <w:t>&lt;…&gt;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года истец был введен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в заблуждение со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трудником банка относительно заключения оспариваемых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договоров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, ему было сообщено о том, что используемая истцом программа по вкладу «Управляй»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явл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яетс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я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невыг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о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дной и можно размест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ить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его вклад под более высокий процент</w:t>
      </w:r>
      <w:r>
        <w:rPr>
          <w:rFonts w:ascii="Times New Roman" w:hAnsi="Times New Roman" w:cs="Times New Roman"/>
          <w:sz w:val="28"/>
          <w:szCs w:val="28"/>
          <w:highlight w:val="white"/>
        </w:rPr>
        <w:t>,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использовав новый продукт Сбербанк</w:t>
      </w:r>
      <w:r>
        <w:rPr>
          <w:rFonts w:ascii="Times New Roman" w:hAnsi="Times New Roman" w:cs="Times New Roman"/>
          <w:sz w:val="28"/>
          <w:szCs w:val="28"/>
          <w:highlight w:val="white"/>
        </w:rPr>
        <w:t>а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«СматрПолис». Под убеждение</w:t>
      </w:r>
      <w:r>
        <w:rPr>
          <w:rFonts w:ascii="Times New Roman" w:hAnsi="Times New Roman" w:cs="Times New Roman"/>
          <w:sz w:val="28"/>
          <w:szCs w:val="28"/>
          <w:highlight w:val="white"/>
        </w:rPr>
        <w:t>м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сотрудника банка истец перевел часть денежных средств со вклада «Управляй» на «СмартПослис», при этом оформил необходи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мую страховку жизни </w:t>
      </w:r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Семейный актив». </w:t>
      </w:r>
      <w:r>
        <w:rPr>
          <w:rFonts w:ascii="Times New Roman" w:hAnsi="Times New Roman" w:cs="Times New Roman"/>
          <w:sz w:val="28"/>
          <w:szCs w:val="28"/>
          <w:highlight w:val="white"/>
        </w:rPr>
        <w:t>Впоследствии и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стец обращался в отделение Сбербанка с просьбой об аннулировании договора, на что ему было сообщено о необходимости уплатить за это денежные средства более </w:t>
      </w:r>
      <w:r>
        <w:rPr>
          <w:rFonts w:ascii="Times New Roman" w:hAnsi="Times New Roman"/>
          <w:sz w:val="28"/>
          <w:szCs w:val="28"/>
          <w:highlight w:val="white"/>
        </w:rPr>
        <w:t>&lt;…&gt;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рублей. Ознакомившись с условиями продукта «С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мартПолис» и договором страхования жизни, истец понял, что сотрудник банка его ввел в заблуждение, и не представил полную,  информаци</w:t>
      </w:r>
      <w:r>
        <w:rPr>
          <w:rFonts w:ascii="Times New Roman" w:hAnsi="Times New Roman" w:cs="Times New Roman"/>
          <w:sz w:val="28"/>
          <w:szCs w:val="28"/>
          <w:highlight w:val="white"/>
        </w:rPr>
        <w:t>ю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, подверг давлению, в связи с чем истец заключил невыгодные для себя договор</w:t>
      </w:r>
      <w:r>
        <w:rPr>
          <w:rFonts w:ascii="Times New Roman" w:hAnsi="Times New Roman" w:cs="Times New Roman"/>
          <w:sz w:val="28"/>
          <w:szCs w:val="28"/>
          <w:highlight w:val="white"/>
        </w:rPr>
        <w:t>ы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и потерял денежные средства. </w:t>
      </w:r>
      <w:r>
        <w:rPr>
          <w:rFonts w:ascii="Times New Roman" w:hAnsi="Times New Roman"/>
          <w:sz w:val="28"/>
          <w:szCs w:val="28"/>
          <w:highlight w:val="white"/>
        </w:rPr>
        <w:t>&lt;…&gt;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года исте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ц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обратился с заявление</w:t>
      </w:r>
      <w:r>
        <w:rPr>
          <w:rFonts w:ascii="Times New Roman" w:hAnsi="Times New Roman" w:cs="Times New Roman"/>
          <w:sz w:val="28"/>
          <w:szCs w:val="28"/>
          <w:highlight w:val="white"/>
        </w:rPr>
        <w:t>м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в ПАО «Сбербанк России» с требованием о расторжении договора продукта «СмартПолис» от </w:t>
      </w:r>
      <w:r>
        <w:rPr>
          <w:rFonts w:ascii="Times New Roman" w:hAnsi="Times New Roman"/>
          <w:sz w:val="28"/>
          <w:szCs w:val="28"/>
          <w:highlight w:val="white"/>
        </w:rPr>
        <w:t>&lt;…&gt;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года и перевода денежных средств в размере </w:t>
      </w:r>
      <w:r>
        <w:rPr>
          <w:rFonts w:ascii="Times New Roman" w:hAnsi="Times New Roman"/>
          <w:sz w:val="28"/>
          <w:szCs w:val="28"/>
          <w:highlight w:val="white"/>
        </w:rPr>
        <w:t>&lt;…&gt;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рублей на продукт «Управляй», однако ответ не получил. Полагая свои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права нарушенными,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поскольку д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оговоры истцом были заключены на крайне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невыгодных для него условиях, о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н заблуждался относительно природы совершаемых сделок,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с учетом уточненных требований в порядке ст. 39 ГПК РФ,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истец просил суд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признать недействительными договор «СмартПолис» от 27 фев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раля 216 года, договор страхования жизни на условиях «Семейный актив» от </w:t>
      </w:r>
      <w:r>
        <w:rPr>
          <w:rFonts w:ascii="Times New Roman" w:hAnsi="Times New Roman"/>
          <w:sz w:val="28"/>
          <w:szCs w:val="28"/>
          <w:highlight w:val="white"/>
        </w:rPr>
        <w:t>&lt;…&gt;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года, взыскать сумму уплаченной страховой премии в размере </w:t>
      </w:r>
      <w:r>
        <w:rPr>
          <w:rFonts w:ascii="Times New Roman" w:hAnsi="Times New Roman"/>
          <w:sz w:val="28"/>
          <w:szCs w:val="28"/>
          <w:highlight w:val="white"/>
        </w:rPr>
        <w:t>&lt;…&gt;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, штраф в соответствии с Законом РФ «О защите прав потребителей», расходы по оплате юридических услуг в размере </w:t>
      </w:r>
      <w:r>
        <w:rPr>
          <w:rFonts w:ascii="Times New Roman" w:hAnsi="Times New Roman"/>
          <w:sz w:val="28"/>
          <w:szCs w:val="28"/>
          <w:highlight w:val="white"/>
        </w:rPr>
        <w:t>&lt;…&gt;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</w:p>
    <w:p w14:paraId="48DF6B94" w14:textId="77777777" w:rsidR="00C369FE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Истец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и его представитель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в судебное заседание явил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ись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, исковые требования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с учетом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уточнений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, поддержал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и в полном объеме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, просил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и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их удовлетворить.</w:t>
      </w:r>
    </w:p>
    <w:p w14:paraId="3E2EE2B5" w14:textId="77777777" w:rsidR="00C369FE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>Представители ответчик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ов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ООО СК «Сбербанк страхование жизни», ПАО «Сбербанк России»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в судебн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ое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заседани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е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яв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ились,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в удовлетворении исковых требований просили отказать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по доводам, изложенным в письменн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ых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возражениях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на исковое заявление.</w:t>
      </w:r>
    </w:p>
    <w:p w14:paraId="27BC20B5" w14:textId="77777777" w:rsidR="00C369FE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Суд постановил указанное выше решение, об отмене которого как незаконного просит истец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Толмачев Л.М.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по доводам, изложенным в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апелляционной жалобе.</w:t>
      </w:r>
    </w:p>
    <w:p w14:paraId="773F8941" w14:textId="77777777" w:rsidR="00C369FE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>Проверив материалы дела, выслушав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Толмачева Л.М. и его представителя, представителя ООО СК «</w:t>
      </w:r>
      <w:r>
        <w:rPr>
          <w:rFonts w:ascii="Times New Roman" w:hAnsi="Times New Roman" w:cs="Times New Roman"/>
          <w:sz w:val="28"/>
          <w:szCs w:val="28"/>
          <w:highlight w:val="white"/>
        </w:rPr>
        <w:t>Сберб</w:t>
      </w:r>
      <w:r>
        <w:rPr>
          <w:rFonts w:ascii="Times New Roman" w:hAnsi="Times New Roman" w:cs="Times New Roman"/>
          <w:sz w:val="28"/>
          <w:szCs w:val="28"/>
          <w:highlight w:val="white"/>
        </w:rPr>
        <w:t>анк с</w:t>
      </w:r>
      <w:r>
        <w:rPr>
          <w:rFonts w:ascii="Times New Roman" w:hAnsi="Times New Roman" w:cs="Times New Roman"/>
          <w:sz w:val="28"/>
          <w:szCs w:val="28"/>
          <w:highlight w:val="white"/>
        </w:rPr>
        <w:t>трахование жизни»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, обсудив доводы апелляционной жалобы, судебная коллегия не находит оснований к отмене решения, постановленного в с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оответствии с требованиями действующего законодательства и фактическими обстоятельствами.</w:t>
      </w:r>
    </w:p>
    <w:p w14:paraId="5B818A15" w14:textId="77777777" w:rsidR="00C27050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При рассмотрении дела судом первой инстанции установлено, что </w:t>
      </w:r>
      <w:r>
        <w:rPr>
          <w:rFonts w:ascii="Times New Roman" w:hAnsi="Times New Roman"/>
          <w:sz w:val="28"/>
          <w:szCs w:val="28"/>
          <w:highlight w:val="white"/>
        </w:rPr>
        <w:t>&lt;…&gt;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года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между Толмачевым Л.М. (страхователь) и ООО СК «Сбербанк страхование жизни» (страховщик)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был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и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за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ключен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ы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договор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ы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страхования жизни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«СмартПолис» и «</w:t>
      </w:r>
      <w:r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емейный актив» на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основании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пис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ь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менных заявлений Толмачева Л.М. в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соответствии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с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Условиями договора страхования жизни «СмартПолис» и «Семейный актив», являющимися неотъемлемой частью договор</w:t>
      </w:r>
      <w:r>
        <w:rPr>
          <w:rFonts w:ascii="Times New Roman" w:hAnsi="Times New Roman" w:cs="Times New Roman"/>
          <w:sz w:val="28"/>
          <w:szCs w:val="28"/>
          <w:highlight w:val="white"/>
        </w:rPr>
        <w:t>ов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, что подтве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рждается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полисом страхования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жизни на условиях «Семейный актив»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ВМР1 </w:t>
      </w:r>
      <w:r>
        <w:rPr>
          <w:rFonts w:ascii="Times New Roman" w:hAnsi="Times New Roman"/>
          <w:sz w:val="28"/>
          <w:szCs w:val="28"/>
          <w:highlight w:val="white"/>
        </w:rPr>
        <w:t>&lt;…&gt;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и полисом страхования жизни на условиях «СмартПолис» </w:t>
      </w:r>
      <w:r>
        <w:rPr>
          <w:rFonts w:ascii="Times New Roman" w:hAnsi="Times New Roman"/>
          <w:sz w:val="28"/>
          <w:szCs w:val="28"/>
          <w:highlight w:val="white"/>
        </w:rPr>
        <w:t xml:space="preserve">&lt;…&gt;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139B310E" w14:textId="77777777" w:rsidR="00C369FE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Страхователем и застрахованным лицом по договору являлся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Толмачев Л.М.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, страховая премия в размере </w:t>
      </w:r>
      <w:r>
        <w:rPr>
          <w:rFonts w:ascii="Times New Roman" w:hAnsi="Times New Roman"/>
          <w:sz w:val="28"/>
          <w:szCs w:val="28"/>
          <w:highlight w:val="white"/>
        </w:rPr>
        <w:t xml:space="preserve">&lt;…&gt;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истцом была выплачена.</w:t>
      </w:r>
    </w:p>
    <w:p w14:paraId="43B5AF5E" w14:textId="77777777" w:rsidR="00C27050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>Указанные обстоятельства сторонами не оспаривались.</w:t>
      </w:r>
    </w:p>
    <w:p w14:paraId="2C15755A" w14:textId="77777777" w:rsidR="00757EEF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В соответствии со </w:t>
      </w:r>
      <w:hyperlink r:id="rId7" w:history="1">
        <w:r w:rsidRPr="006029FF">
          <w:rPr>
            <w:rFonts w:ascii="Times New Roman" w:hAnsi="Times New Roman" w:cs="Times New Roman"/>
            <w:sz w:val="28"/>
            <w:szCs w:val="28"/>
            <w:highlight w:val="white"/>
          </w:rPr>
          <w:t>ст. 178</w:t>
        </w:r>
      </w:hyperlink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ГК РФ, сделка, совершенная под влиянием заблуждения, мо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жет быть признана судом недействительной по иску стороны, действовавшей под влиянием заблуждения, если заблуждение было настолько существенным, что эта сторона, разумно и объективно оценивая ситуацию, не совершила бы сделку, если бы знала о действительном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положении дел.</w:t>
      </w:r>
    </w:p>
    <w:p w14:paraId="4E43CD1E" w14:textId="77777777" w:rsidR="006029FF" w:rsidRPr="006029FF" w:rsidRDefault="006A088E" w:rsidP="006029FF">
      <w:pPr>
        <w:pStyle w:val="ConsPlusNormal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Согласно ч. 2 и ч. 3 ст. 178 ГК РФ, </w:t>
      </w:r>
      <w:r w:rsidRPr="006029FF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при наличии условий, предусмотренных </w:t>
      </w:r>
      <w:hyperlink r:id="rId8" w:history="1">
        <w:r w:rsidRPr="006029FF">
          <w:rPr>
            <w:rFonts w:ascii="Times New Roman" w:eastAsia="Calibri" w:hAnsi="Times New Roman" w:cs="Times New Roman"/>
            <w:sz w:val="28"/>
            <w:szCs w:val="28"/>
            <w:highlight w:val="white"/>
          </w:rPr>
          <w:t>пунктом 1</w:t>
        </w:r>
      </w:hyperlink>
      <w:r w:rsidRPr="006029FF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настоящей статьи, заблуждение предпо</w:t>
      </w:r>
      <w:r w:rsidRPr="006029FF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лагается достаточно существенным, в частности если: </w:t>
      </w:r>
      <w:r w:rsidRPr="006029FF">
        <w:rPr>
          <w:rFonts w:ascii="Times New Roman" w:hAnsi="Times New Roman"/>
          <w:sz w:val="28"/>
          <w:szCs w:val="28"/>
          <w:highlight w:val="white"/>
        </w:rPr>
        <w:t xml:space="preserve">сторона допустила очевидные </w:t>
      </w:r>
      <w:r w:rsidRPr="006029FF">
        <w:rPr>
          <w:rFonts w:ascii="Times New Roman" w:hAnsi="Times New Roman"/>
          <w:sz w:val="28"/>
          <w:szCs w:val="28"/>
          <w:highlight w:val="white"/>
        </w:rPr>
        <w:lastRenderedPageBreak/>
        <w:t xml:space="preserve">оговорку, описку, опечатку и т.п.; сторона заблуждается в отношении предмета сделки, в частности таких его качеств, которые в обороте рассматриваются как существенные; сторона </w:t>
      </w:r>
      <w:r w:rsidRPr="006029FF">
        <w:rPr>
          <w:rFonts w:ascii="Times New Roman" w:hAnsi="Times New Roman"/>
          <w:sz w:val="28"/>
          <w:szCs w:val="28"/>
          <w:highlight w:val="white"/>
        </w:rPr>
        <w:t>заблуждается в отношении природы сделки; сторона заблуждается в отношении лица, с которым она вступает в сделку, или лица, связанного со сделкой; сторона заблуждается в отношении обстоятельства, которое она упоминает в своем волеизъявлении или из наличия к</w:t>
      </w:r>
      <w:r w:rsidRPr="006029FF">
        <w:rPr>
          <w:rFonts w:ascii="Times New Roman" w:hAnsi="Times New Roman"/>
          <w:sz w:val="28"/>
          <w:szCs w:val="28"/>
          <w:highlight w:val="white"/>
        </w:rPr>
        <w:t>оторого она с очевидностью для другой стороны исходит, совершая сделку.</w:t>
      </w:r>
    </w:p>
    <w:p w14:paraId="1A20E66C" w14:textId="77777777" w:rsidR="006029FF" w:rsidRPr="006029FF" w:rsidRDefault="006A088E" w:rsidP="006029F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6029FF">
        <w:rPr>
          <w:rFonts w:ascii="Times New Roman" w:hAnsi="Times New Roman"/>
          <w:sz w:val="28"/>
          <w:szCs w:val="28"/>
          <w:highlight w:val="white"/>
          <w:lang w:eastAsia="ru-RU"/>
        </w:rPr>
        <w:t>Заблуждение относительно мотивов сделки не является достаточно существенным для признания сделки недействительной.</w:t>
      </w:r>
    </w:p>
    <w:p w14:paraId="7B346DA3" w14:textId="77777777" w:rsidR="00DC7DFB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Отказывая в удовлетворении исковых требований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Толмачева Л.М.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, суд </w:t>
      </w:r>
      <w:r>
        <w:rPr>
          <w:rFonts w:ascii="Times New Roman" w:hAnsi="Times New Roman" w:cs="Times New Roman"/>
          <w:sz w:val="28"/>
          <w:szCs w:val="28"/>
          <w:highlight w:val="white"/>
        </w:rPr>
        <w:t>пер</w:t>
      </w:r>
      <w:r>
        <w:rPr>
          <w:rFonts w:ascii="Times New Roman" w:hAnsi="Times New Roman" w:cs="Times New Roman"/>
          <w:sz w:val="28"/>
          <w:szCs w:val="28"/>
          <w:highlight w:val="white"/>
        </w:rPr>
        <w:t>вой инстанции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исходил из того, что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в нарушение положений </w:t>
      </w:r>
      <w:hyperlink r:id="rId9" w:history="1">
        <w:r w:rsidRPr="006029FF">
          <w:rPr>
            <w:rFonts w:ascii="Times New Roman" w:hAnsi="Times New Roman" w:cs="Times New Roman"/>
            <w:sz w:val="28"/>
            <w:szCs w:val="28"/>
            <w:highlight w:val="white"/>
          </w:rPr>
          <w:t>ст. 56</w:t>
        </w:r>
      </w:hyperlink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ГПК РФ</w:t>
      </w:r>
      <w:r>
        <w:rPr>
          <w:rFonts w:ascii="Times New Roman" w:hAnsi="Times New Roman" w:cs="Times New Roman"/>
          <w:sz w:val="28"/>
          <w:szCs w:val="28"/>
          <w:highlight w:val="white"/>
        </w:rPr>
        <w:t>,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истцом не было представлено доказательств тому, что дейс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твия ответчиков при заключении оспариваемых договоров были направлены на введение истца в заблуждение, что при заключении договоров истец заблуждался относит</w:t>
      </w:r>
      <w:r>
        <w:rPr>
          <w:rFonts w:ascii="Times New Roman" w:hAnsi="Times New Roman" w:cs="Times New Roman"/>
          <w:sz w:val="28"/>
          <w:szCs w:val="28"/>
          <w:highlight w:val="white"/>
        </w:rPr>
        <w:t>ельно природы и условий сделки.</w:t>
      </w:r>
    </w:p>
    <w:p w14:paraId="255EED18" w14:textId="77777777" w:rsid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Заключая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оспариваемые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договор</w:t>
      </w:r>
      <w:r>
        <w:rPr>
          <w:rFonts w:ascii="Times New Roman" w:hAnsi="Times New Roman" w:cs="Times New Roman"/>
          <w:sz w:val="28"/>
          <w:szCs w:val="28"/>
          <w:highlight w:val="white"/>
        </w:rPr>
        <w:t>ы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, ист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ец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согласил</w:t>
      </w:r>
      <w:r>
        <w:rPr>
          <w:rFonts w:ascii="Times New Roman" w:hAnsi="Times New Roman" w:cs="Times New Roman"/>
          <w:sz w:val="28"/>
          <w:szCs w:val="28"/>
          <w:highlight w:val="white"/>
        </w:rPr>
        <w:t>ся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с их условиями,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о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чем свидетельствует собственноручная подпись истца в заявлениях от 27 февраля 2016 года, чем он подтвердил, что понимает, что неотъемлемыми частями договоров являются: заявление, условия, с которыми он ознакомлен, согласен, содержание которых понимает и п</w:t>
      </w:r>
      <w:r>
        <w:rPr>
          <w:rFonts w:ascii="Times New Roman" w:hAnsi="Times New Roman" w:cs="Times New Roman"/>
          <w:sz w:val="28"/>
          <w:szCs w:val="28"/>
          <w:highlight w:val="white"/>
        </w:rPr>
        <w:t>оложения которых обязался соблюдать.</w:t>
      </w:r>
    </w:p>
    <w:p w14:paraId="45BA7454" w14:textId="77777777" w:rsidR="00995CE2" w:rsidRDefault="006A088E" w:rsidP="00995CE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При этом, каких-либо доказательств о наличии понуждения истца при заключении договоров со стороны страховой компании, предоставления недостоверной информации, вводящей истца в заблуждение, физического или психического в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оздействия, не представлено. </w:t>
      </w:r>
    </w:p>
    <w:p w14:paraId="1D0DA6B7" w14:textId="77777777" w:rsidR="00AB5EF1" w:rsidRPr="006029FF" w:rsidRDefault="006A088E" w:rsidP="00AB5EF1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Таким образом, суд пришел к правильному выводу, что д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оговор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ы страхования от </w:t>
      </w:r>
      <w:r>
        <w:rPr>
          <w:rFonts w:ascii="Times New Roman" w:hAnsi="Times New Roman"/>
          <w:sz w:val="28"/>
          <w:szCs w:val="28"/>
          <w:highlight w:val="white"/>
        </w:rPr>
        <w:t>&lt;…&gt;</w:t>
      </w:r>
      <w:r>
        <w:rPr>
          <w:rFonts w:ascii="Times New Roman" w:hAnsi="Times New Roman" w:cs="Times New Roman"/>
          <w:sz w:val="28"/>
          <w:szCs w:val="28"/>
          <w:highlight w:val="white"/>
        </w:rPr>
        <w:t>года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был</w:t>
      </w:r>
      <w:r>
        <w:rPr>
          <w:rFonts w:ascii="Times New Roman" w:hAnsi="Times New Roman" w:cs="Times New Roman"/>
          <w:sz w:val="28"/>
          <w:szCs w:val="28"/>
          <w:highlight w:val="white"/>
        </w:rPr>
        <w:t>и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заключен</w:t>
      </w:r>
      <w:r>
        <w:rPr>
          <w:rFonts w:ascii="Times New Roman" w:hAnsi="Times New Roman" w:cs="Times New Roman"/>
          <w:sz w:val="28"/>
          <w:szCs w:val="28"/>
          <w:highlight w:val="white"/>
        </w:rPr>
        <w:t>ы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на добровольных основаниях, к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лиент был согласен с условиями договор</w:t>
      </w:r>
      <w:r>
        <w:rPr>
          <w:rFonts w:ascii="Times New Roman" w:hAnsi="Times New Roman" w:cs="Times New Roman"/>
          <w:sz w:val="28"/>
          <w:szCs w:val="28"/>
          <w:highlight w:val="white"/>
        </w:rPr>
        <w:t>ов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, о чем свидетельствует его подпись в </w:t>
      </w:r>
      <w:r>
        <w:rPr>
          <w:rFonts w:ascii="Times New Roman" w:hAnsi="Times New Roman" w:cs="Times New Roman"/>
          <w:sz w:val="28"/>
          <w:szCs w:val="28"/>
          <w:highlight w:val="white"/>
        </w:rPr>
        <w:t>заявлениях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2FC1790C" w14:textId="77777777" w:rsidR="00AB5EF1" w:rsidRPr="006029FF" w:rsidRDefault="006A088E" w:rsidP="00AB5EF1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В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удовле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творении исковых требований </w:t>
      </w:r>
      <w:r>
        <w:rPr>
          <w:rFonts w:ascii="Times New Roman" w:hAnsi="Times New Roman" w:cs="Times New Roman"/>
          <w:sz w:val="28"/>
          <w:szCs w:val="28"/>
          <w:highlight w:val="white"/>
        </w:rPr>
        <w:t>Толмачева Л.М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. о взыска</w:t>
      </w:r>
      <w:r>
        <w:rPr>
          <w:rFonts w:ascii="Times New Roman" w:hAnsi="Times New Roman" w:cs="Times New Roman"/>
          <w:sz w:val="28"/>
          <w:szCs w:val="28"/>
          <w:highlight w:val="white"/>
        </w:rPr>
        <w:t>нии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сумм</w:t>
      </w:r>
      <w:r>
        <w:rPr>
          <w:rFonts w:ascii="Times New Roman" w:hAnsi="Times New Roman" w:cs="Times New Roman"/>
          <w:sz w:val="28"/>
          <w:szCs w:val="28"/>
          <w:highlight w:val="white"/>
        </w:rPr>
        <w:t>ы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уплаченной страховой премии в размере </w:t>
      </w:r>
      <w:r>
        <w:rPr>
          <w:rFonts w:ascii="Times New Roman" w:hAnsi="Times New Roman"/>
          <w:sz w:val="28"/>
          <w:szCs w:val="28"/>
          <w:highlight w:val="white"/>
        </w:rPr>
        <w:t>&lt;…&gt;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, штраф</w:t>
      </w:r>
      <w:r>
        <w:rPr>
          <w:rFonts w:ascii="Times New Roman" w:hAnsi="Times New Roman" w:cs="Times New Roman"/>
          <w:sz w:val="28"/>
          <w:szCs w:val="28"/>
          <w:highlight w:val="white"/>
        </w:rPr>
        <w:t>а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в соответствии с Законом РФ «О защите прав потребителей», расходы по оплате юридических услуг,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судом первой инстанции отказано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поскольку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указанны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е исковые требования вытекают из исковых требований о признании договор</w:t>
      </w:r>
      <w:r>
        <w:rPr>
          <w:rFonts w:ascii="Times New Roman" w:hAnsi="Times New Roman" w:cs="Times New Roman"/>
          <w:sz w:val="28"/>
          <w:szCs w:val="28"/>
          <w:highlight w:val="white"/>
        </w:rPr>
        <w:t>ов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недействительными.</w:t>
      </w:r>
    </w:p>
    <w:p w14:paraId="2C4D8E89" w14:textId="77777777" w:rsidR="00AB5EF1" w:rsidRPr="006029FF" w:rsidRDefault="006A088E" w:rsidP="00AB5EF1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>Судебная коллегия соглашается с такими выводами суда первой инстанции, основанными на положениях закона и фактических обстоятельствах дела.</w:t>
      </w:r>
    </w:p>
    <w:p w14:paraId="3661FB0E" w14:textId="77777777" w:rsidR="00995CE2" w:rsidRPr="006029FF" w:rsidRDefault="006A088E" w:rsidP="00AB5EF1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>Как следует из материал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ов дела договор</w:t>
      </w:r>
      <w:r>
        <w:rPr>
          <w:rFonts w:ascii="Times New Roman" w:hAnsi="Times New Roman" w:cs="Times New Roman"/>
          <w:sz w:val="28"/>
          <w:szCs w:val="28"/>
          <w:highlight w:val="white"/>
        </w:rPr>
        <w:t>ы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страхования между сторонами был</w:t>
      </w:r>
      <w:r>
        <w:rPr>
          <w:rFonts w:ascii="Times New Roman" w:hAnsi="Times New Roman" w:cs="Times New Roman"/>
          <w:sz w:val="28"/>
          <w:szCs w:val="28"/>
          <w:highlight w:val="white"/>
        </w:rPr>
        <w:t>и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заключен</w:t>
      </w:r>
      <w:r>
        <w:rPr>
          <w:rFonts w:ascii="Times New Roman" w:hAnsi="Times New Roman" w:cs="Times New Roman"/>
          <w:sz w:val="28"/>
          <w:szCs w:val="28"/>
          <w:highlight w:val="white"/>
        </w:rPr>
        <w:t>ы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в соответствии и на основании полисных </w:t>
      </w:r>
      <w:r>
        <w:rPr>
          <w:rFonts w:ascii="Times New Roman" w:hAnsi="Times New Roman" w:cs="Times New Roman"/>
          <w:sz w:val="28"/>
          <w:szCs w:val="28"/>
          <w:highlight w:val="white"/>
        </w:rPr>
        <w:t>У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словий страхования </w:t>
      </w:r>
      <w:r>
        <w:rPr>
          <w:rFonts w:ascii="Times New Roman" w:hAnsi="Times New Roman" w:cs="Times New Roman"/>
          <w:sz w:val="28"/>
          <w:szCs w:val="28"/>
          <w:highlight w:val="white"/>
        </w:rPr>
        <w:t>«Семейный а</w:t>
      </w:r>
      <w:r>
        <w:rPr>
          <w:rFonts w:ascii="Times New Roman" w:hAnsi="Times New Roman" w:cs="Times New Roman"/>
          <w:sz w:val="28"/>
          <w:szCs w:val="28"/>
          <w:highlight w:val="white"/>
        </w:rPr>
        <w:t>ктив</w:t>
      </w:r>
      <w:r>
        <w:rPr>
          <w:rFonts w:ascii="Times New Roman" w:hAnsi="Times New Roman" w:cs="Times New Roman"/>
          <w:sz w:val="28"/>
          <w:szCs w:val="28"/>
          <w:highlight w:val="white"/>
        </w:rPr>
        <w:t>» и  «СмартПолис»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, которые, в силу </w:t>
      </w:r>
      <w:hyperlink r:id="rId10" w:history="1">
        <w:r w:rsidRPr="006029FF">
          <w:rPr>
            <w:rFonts w:ascii="Times New Roman" w:hAnsi="Times New Roman" w:cs="Times New Roman"/>
            <w:sz w:val="28"/>
            <w:szCs w:val="28"/>
            <w:highlight w:val="white"/>
          </w:rPr>
          <w:t>п. 2 ст. 943</w:t>
        </w:r>
      </w:hyperlink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ГК РФ, являются составной и неотъемлемой частью договора страхования.</w:t>
      </w:r>
    </w:p>
    <w:p w14:paraId="67E92765" w14:textId="77777777" w:rsidR="00995CE2" w:rsidRPr="006029FF" w:rsidRDefault="006A088E" w:rsidP="00995CE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В пункте </w:t>
      </w:r>
      <w:r>
        <w:rPr>
          <w:rFonts w:ascii="Times New Roman" w:hAnsi="Times New Roman" w:cs="Times New Roman"/>
          <w:sz w:val="28"/>
          <w:szCs w:val="28"/>
          <w:highlight w:val="white"/>
        </w:rPr>
        <w:t>7 страхового полиса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жизни «Семейный </w:t>
      </w:r>
      <w:r>
        <w:rPr>
          <w:rFonts w:ascii="Times New Roman" w:hAnsi="Times New Roman" w:cs="Times New Roman"/>
          <w:sz w:val="28"/>
          <w:szCs w:val="28"/>
          <w:highlight w:val="white"/>
        </w:rPr>
        <w:t>актив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» и в пункте 8 страхового полиса «СмартПолис»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указано, что к полису прилагаютс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я усл</w:t>
      </w:r>
      <w:r>
        <w:rPr>
          <w:rFonts w:ascii="Times New Roman" w:hAnsi="Times New Roman" w:cs="Times New Roman"/>
          <w:sz w:val="28"/>
          <w:szCs w:val="28"/>
          <w:highlight w:val="white"/>
        </w:rPr>
        <w:t>овия договора страхования жизни.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Полисные условия истцом получены, о чем свидетельствует подпись страхователя.</w:t>
      </w:r>
    </w:p>
    <w:p w14:paraId="76992953" w14:textId="77777777" w:rsidR="00AB5EF1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Судебная коллегия с выводами суда первой инстанции соглашается, поскольку из представленных </w:t>
      </w:r>
      <w:r>
        <w:rPr>
          <w:rFonts w:ascii="Times New Roman" w:hAnsi="Times New Roman" w:cs="Times New Roman"/>
          <w:sz w:val="28"/>
          <w:szCs w:val="28"/>
          <w:highlight w:val="white"/>
        </w:rPr>
        <w:t>в материалы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документов усматривается, что истец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был свободен в своем выборе при заключении оспариваемых договоров, каких-либо нарушений его прав потребителя при их заключении допущено не было. Факт подписания имеющихся в материалах дела документов, истец не отрицает</w:t>
      </w:r>
      <w:r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6CD35AF9" w14:textId="77777777" w:rsidR="00C369FE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Разрешая заявленные исковые требова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ния и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отказывая в удовлетворении исковых требований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, суд первой инстанции, оценив в совокупности, представленные по делу доказательства по правилам </w:t>
      </w:r>
      <w:hyperlink r:id="rId11" w:history="1">
        <w:r w:rsidRPr="006029FF">
          <w:rPr>
            <w:rFonts w:ascii="Times New Roman" w:hAnsi="Times New Roman" w:cs="Times New Roman"/>
            <w:sz w:val="28"/>
            <w:szCs w:val="28"/>
            <w:highlight w:val="white"/>
          </w:rPr>
          <w:t>ст. ст. 12</w:t>
        </w:r>
      </w:hyperlink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hyperlink r:id="rId12" w:history="1">
        <w:r w:rsidRPr="006029FF">
          <w:rPr>
            <w:rFonts w:ascii="Times New Roman" w:hAnsi="Times New Roman" w:cs="Times New Roman"/>
            <w:sz w:val="28"/>
            <w:szCs w:val="28"/>
            <w:highlight w:val="white"/>
          </w:rPr>
          <w:t>56</w:t>
        </w:r>
      </w:hyperlink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hyperlink r:id="rId13" w:history="1">
        <w:r w:rsidRPr="006029FF">
          <w:rPr>
            <w:rFonts w:ascii="Times New Roman" w:hAnsi="Times New Roman" w:cs="Times New Roman"/>
            <w:sz w:val="28"/>
            <w:szCs w:val="28"/>
            <w:highlight w:val="white"/>
          </w:rPr>
          <w:t>67</w:t>
        </w:r>
      </w:hyperlink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ГПК РФ, правильно исходил из того, что все существенные условия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заключения договоров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были соблюдены и подтверждены подписью страхователя в </w:t>
      </w:r>
      <w:r>
        <w:rPr>
          <w:rFonts w:ascii="Times New Roman" w:hAnsi="Times New Roman" w:cs="Times New Roman"/>
          <w:sz w:val="28"/>
          <w:szCs w:val="28"/>
          <w:highlight w:val="white"/>
        </w:rPr>
        <w:t>заявлениях и полисе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0355EC2F" w14:textId="77777777" w:rsidR="00C369FE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>Доводы апелляционной жалобы о том, что договор с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трахования жизни и условия к нему напечатаны мелким шрифтом, что не позволило истцу получить полную информацию об условиях страхования, судебная коллегия отклоняет. Понимание и согласие с условиями указанного договора истец подтвердил своей подписью. Каких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-либо претензий, в том числе о нечитаемости и мелком шрифте текста договора, </w:t>
      </w:r>
      <w:r>
        <w:rPr>
          <w:rFonts w:ascii="Times New Roman" w:hAnsi="Times New Roman" w:cs="Times New Roman"/>
          <w:sz w:val="28"/>
          <w:szCs w:val="28"/>
          <w:highlight w:val="white"/>
        </w:rPr>
        <w:t>Толмачев Л.М.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не предъявлял ни при заключении договор</w:t>
      </w:r>
      <w:r>
        <w:rPr>
          <w:rFonts w:ascii="Times New Roman" w:hAnsi="Times New Roman" w:cs="Times New Roman"/>
          <w:sz w:val="28"/>
          <w:szCs w:val="28"/>
          <w:highlight w:val="white"/>
        </w:rPr>
        <w:t>ов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страхования, ни в дальнейшем, подписал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документы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без каких-либо оговорок.</w:t>
      </w:r>
    </w:p>
    <w:p w14:paraId="125285F1" w14:textId="77777777" w:rsidR="00C369FE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>Доводы апелляционной жалобы о том, что истец пола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гал, что заключал договор банковского вклада, а не договор страхования, что </w:t>
      </w:r>
      <w:r>
        <w:rPr>
          <w:rFonts w:ascii="Times New Roman" w:hAnsi="Times New Roman" w:cs="Times New Roman"/>
          <w:sz w:val="28"/>
          <w:szCs w:val="28"/>
          <w:highlight w:val="white"/>
        </w:rPr>
        <w:t>Толмачев Л.М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. был введен в заблуждение относительно природы сделки, не влекут отмену решения суда, так как доказательств того, что при заключении договора, истец не имел возможност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и ознакомиться с его условиями не представлено.</w:t>
      </w:r>
    </w:p>
    <w:p w14:paraId="02E9313E" w14:textId="77777777" w:rsidR="00C369FE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Доводы </w:t>
      </w:r>
      <w:r>
        <w:rPr>
          <w:rFonts w:ascii="Times New Roman" w:hAnsi="Times New Roman" w:cs="Times New Roman"/>
          <w:sz w:val="28"/>
          <w:szCs w:val="28"/>
          <w:highlight w:val="white"/>
        </w:rPr>
        <w:t>Толмачева Л.М.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о том, что ответчик ввел его в заблуждение относительно того, что сумма страхового взноса не является вкладом, и будет возвращена с большими процентами, что противоречит </w:t>
      </w:r>
      <w:hyperlink r:id="rId14" w:history="1">
        <w:r w:rsidRPr="006029FF">
          <w:rPr>
            <w:rFonts w:ascii="Times New Roman" w:hAnsi="Times New Roman" w:cs="Times New Roman"/>
            <w:sz w:val="28"/>
            <w:szCs w:val="28"/>
            <w:highlight w:val="white"/>
          </w:rPr>
          <w:t>ст. 10</w:t>
        </w:r>
      </w:hyperlink>
      <w:r>
        <w:rPr>
          <w:rFonts w:ascii="Times New Roman" w:hAnsi="Times New Roman" w:cs="Times New Roman"/>
          <w:sz w:val="28"/>
          <w:szCs w:val="28"/>
          <w:highlight w:val="white"/>
        </w:rPr>
        <w:t xml:space="preserve"> Закона РФ «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О защите прав потребителей</w:t>
      </w:r>
      <w:r>
        <w:rPr>
          <w:rFonts w:ascii="Times New Roman" w:hAnsi="Times New Roman" w:cs="Times New Roman"/>
          <w:sz w:val="28"/>
          <w:szCs w:val="28"/>
          <w:highlight w:val="white"/>
        </w:rPr>
        <w:t>»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, судебная коллегия считает необоснованными, поскольку заблуждение истца относительно суммы дохо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дности страхового взноса или выгодности и целесообразности сделки не является заблуждением относительно природы сделки, а является заблуждением относительно последствия заключения и расторжения договора, поэтому договор не может быть признан недействительн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ой сделкой.</w:t>
      </w:r>
    </w:p>
    <w:p w14:paraId="4712BDF6" w14:textId="77777777" w:rsidR="00C369FE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При этом, судебная коллегия учитывает, что мотивы к совершению сделки, не могут рассматриваться в качестве достаточного основания для признания ее недействительной в силу </w:t>
      </w:r>
      <w:hyperlink r:id="rId15" w:history="1">
        <w:r w:rsidRPr="006029FF">
          <w:rPr>
            <w:rFonts w:ascii="Times New Roman" w:hAnsi="Times New Roman" w:cs="Times New Roman"/>
            <w:sz w:val="28"/>
            <w:szCs w:val="28"/>
            <w:highlight w:val="white"/>
          </w:rPr>
          <w:t>ч</w:t>
        </w:r>
        <w:r>
          <w:rPr>
            <w:rFonts w:ascii="Times New Roman" w:hAnsi="Times New Roman" w:cs="Times New Roman"/>
            <w:sz w:val="28"/>
            <w:szCs w:val="28"/>
            <w:highlight w:val="white"/>
          </w:rPr>
          <w:t xml:space="preserve">. </w:t>
        </w:r>
        <w:r w:rsidRPr="006029FF">
          <w:rPr>
            <w:rFonts w:ascii="Times New Roman" w:hAnsi="Times New Roman" w:cs="Times New Roman"/>
            <w:sz w:val="28"/>
            <w:szCs w:val="28"/>
            <w:highlight w:val="white"/>
          </w:rPr>
          <w:t>3 с</w:t>
        </w:r>
        <w:r>
          <w:rPr>
            <w:rFonts w:ascii="Times New Roman" w:hAnsi="Times New Roman" w:cs="Times New Roman"/>
            <w:sz w:val="28"/>
            <w:szCs w:val="28"/>
            <w:highlight w:val="white"/>
          </w:rPr>
          <w:t>т.</w:t>
        </w:r>
        <w:r w:rsidRPr="006029FF">
          <w:rPr>
            <w:rFonts w:ascii="Times New Roman" w:hAnsi="Times New Roman" w:cs="Times New Roman"/>
            <w:sz w:val="28"/>
            <w:szCs w:val="28"/>
            <w:highlight w:val="white"/>
          </w:rPr>
          <w:t xml:space="preserve"> 178</w:t>
        </w:r>
      </w:hyperlink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ГК РФ.</w:t>
      </w:r>
    </w:p>
    <w:p w14:paraId="350E672E" w14:textId="77777777" w:rsidR="00C369FE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Довод апелляционной жалобы о том, что договор страхования был навязан истцу сотрудником банка, не является основанием к отмене решения суда, поскольку в нарушение </w:t>
      </w:r>
      <w:hyperlink r:id="rId16" w:history="1">
        <w:r w:rsidRPr="006029FF">
          <w:rPr>
            <w:rFonts w:ascii="Times New Roman" w:hAnsi="Times New Roman" w:cs="Times New Roman"/>
            <w:sz w:val="28"/>
            <w:szCs w:val="28"/>
            <w:highlight w:val="white"/>
          </w:rPr>
          <w:t>ст. 56</w:t>
        </w:r>
      </w:hyperlink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ГПК РФ доказательств, подтверждающих данные доводы, как в суд первой инстанции, так в суд апелляционной инстанции не представлено, а судом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при рассмотрении дела не было установлено.</w:t>
      </w:r>
    </w:p>
    <w:p w14:paraId="04990DE8" w14:textId="77777777" w:rsidR="00C369FE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>Иные доводы апелляционной жалобы истца повторяют позицию, доведенную до суда первой инстанции в исковом заявлении, не опровергают выводов суда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а выражают несогласие с ними, 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направлены на переоценку обстоятельств,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являвшихся предметом исследования в судебном заседании, а также доказательств, которым судом первой инстанции дана надлежащая оценка в их совокупности, в силу чего не могут являться основанием для отмены решения суда.</w:t>
      </w:r>
    </w:p>
    <w:p w14:paraId="7EB7279D" w14:textId="77777777" w:rsidR="00C369FE" w:rsidRPr="006029FF" w:rsidRDefault="006A088E" w:rsidP="00757EEF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9FF">
        <w:rPr>
          <w:rFonts w:ascii="Times New Roman" w:hAnsi="Times New Roman" w:cs="Times New Roman"/>
          <w:sz w:val="28"/>
          <w:szCs w:val="28"/>
          <w:highlight w:val="white"/>
        </w:rPr>
        <w:t>Нарушени</w:t>
      </w:r>
      <w:r>
        <w:rPr>
          <w:rFonts w:ascii="Times New Roman" w:hAnsi="Times New Roman" w:cs="Times New Roman"/>
          <w:sz w:val="28"/>
          <w:szCs w:val="28"/>
          <w:highlight w:val="white"/>
        </w:rPr>
        <w:t>й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 xml:space="preserve"> норм материального и процес</w:t>
      </w:r>
      <w:r w:rsidRPr="006029FF">
        <w:rPr>
          <w:rFonts w:ascii="Times New Roman" w:hAnsi="Times New Roman" w:cs="Times New Roman"/>
          <w:sz w:val="28"/>
          <w:szCs w:val="28"/>
          <w:highlight w:val="white"/>
        </w:rPr>
        <w:t>суального права, повлекших вынесение незаконного решения, судом не допущено.</w:t>
      </w:r>
    </w:p>
    <w:p w14:paraId="5377A3ED" w14:textId="77777777" w:rsidR="00C369FE" w:rsidRPr="006029FF" w:rsidRDefault="006A088E" w:rsidP="00757EE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white"/>
        </w:rPr>
        <w:t>П</w:t>
      </w:r>
      <w:r w:rsidRPr="006029FF">
        <w:rPr>
          <w:rFonts w:ascii="Times New Roman" w:hAnsi="Times New Roman"/>
          <w:sz w:val="28"/>
          <w:szCs w:val="28"/>
          <w:highlight w:val="white"/>
        </w:rPr>
        <w:t>равовых оснований</w:t>
      </w:r>
      <w:r>
        <w:rPr>
          <w:rFonts w:ascii="Times New Roman" w:hAnsi="Times New Roman"/>
          <w:sz w:val="28"/>
          <w:szCs w:val="28"/>
          <w:highlight w:val="white"/>
        </w:rPr>
        <w:t>, предусмотренных ст. 330 ГПК РФ</w:t>
      </w:r>
      <w:r w:rsidRPr="006029FF">
        <w:rPr>
          <w:rFonts w:ascii="Times New Roman" w:hAnsi="Times New Roman"/>
          <w:sz w:val="28"/>
          <w:szCs w:val="28"/>
          <w:highlight w:val="white"/>
        </w:rPr>
        <w:t xml:space="preserve"> для отмены </w:t>
      </w:r>
      <w:r>
        <w:rPr>
          <w:rFonts w:ascii="Times New Roman" w:hAnsi="Times New Roman"/>
          <w:sz w:val="28"/>
          <w:szCs w:val="28"/>
          <w:highlight w:val="white"/>
        </w:rPr>
        <w:t>решения в апелляционном порядке,</w:t>
      </w:r>
      <w:r w:rsidRPr="00955BF0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6029FF">
        <w:rPr>
          <w:rFonts w:ascii="Times New Roman" w:hAnsi="Times New Roman"/>
          <w:sz w:val="28"/>
          <w:szCs w:val="28"/>
          <w:highlight w:val="white"/>
        </w:rPr>
        <w:t>апелляционн</w:t>
      </w:r>
      <w:r>
        <w:rPr>
          <w:rFonts w:ascii="Times New Roman" w:hAnsi="Times New Roman"/>
          <w:sz w:val="28"/>
          <w:szCs w:val="28"/>
          <w:highlight w:val="white"/>
        </w:rPr>
        <w:t>ая</w:t>
      </w:r>
      <w:r w:rsidRPr="006029FF">
        <w:rPr>
          <w:rFonts w:ascii="Times New Roman" w:hAnsi="Times New Roman"/>
          <w:sz w:val="28"/>
          <w:szCs w:val="28"/>
          <w:highlight w:val="white"/>
        </w:rPr>
        <w:t xml:space="preserve"> жалоб</w:t>
      </w:r>
      <w:r>
        <w:rPr>
          <w:rFonts w:ascii="Times New Roman" w:hAnsi="Times New Roman"/>
          <w:sz w:val="28"/>
          <w:szCs w:val="28"/>
          <w:highlight w:val="white"/>
        </w:rPr>
        <w:t>а</w:t>
      </w:r>
      <w:r w:rsidRPr="006029FF">
        <w:rPr>
          <w:rFonts w:ascii="Times New Roman" w:hAnsi="Times New Roman"/>
          <w:sz w:val="28"/>
          <w:szCs w:val="28"/>
          <w:highlight w:val="white"/>
        </w:rPr>
        <w:t xml:space="preserve"> не содержат </w:t>
      </w:r>
    </w:p>
    <w:p w14:paraId="2FD89889" w14:textId="77777777" w:rsidR="00C369FE" w:rsidRPr="006029FF" w:rsidRDefault="006A088E" w:rsidP="00757EE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029FF">
        <w:rPr>
          <w:rFonts w:ascii="Times New Roman" w:hAnsi="Times New Roman"/>
          <w:sz w:val="28"/>
          <w:szCs w:val="28"/>
          <w:highlight w:val="white"/>
        </w:rPr>
        <w:t>На основании изложенного, руководствуясь ст. ст. 3</w:t>
      </w:r>
      <w:r w:rsidRPr="006029FF">
        <w:rPr>
          <w:rFonts w:ascii="Times New Roman" w:hAnsi="Times New Roman"/>
          <w:sz w:val="28"/>
          <w:szCs w:val="28"/>
          <w:highlight w:val="white"/>
        </w:rPr>
        <w:t xml:space="preserve">28, 329 ГПК РФ, судебная коллегия, </w:t>
      </w:r>
    </w:p>
    <w:p w14:paraId="236086A7" w14:textId="77777777" w:rsidR="00C369FE" w:rsidRPr="006029FF" w:rsidRDefault="006A088E" w:rsidP="00757EE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029FF">
        <w:rPr>
          <w:rFonts w:ascii="Times New Roman" w:hAnsi="Times New Roman"/>
          <w:sz w:val="28"/>
          <w:szCs w:val="28"/>
          <w:highlight w:val="white"/>
        </w:rPr>
        <w:tab/>
      </w:r>
      <w:r w:rsidRPr="006029FF">
        <w:rPr>
          <w:rFonts w:ascii="Times New Roman" w:hAnsi="Times New Roman"/>
          <w:sz w:val="28"/>
          <w:szCs w:val="28"/>
          <w:highlight w:val="white"/>
        </w:rPr>
        <w:tab/>
      </w:r>
      <w:r w:rsidRPr="006029FF">
        <w:rPr>
          <w:rFonts w:ascii="Times New Roman" w:hAnsi="Times New Roman"/>
          <w:sz w:val="28"/>
          <w:szCs w:val="28"/>
          <w:highlight w:val="white"/>
        </w:rPr>
        <w:tab/>
      </w:r>
      <w:r w:rsidRPr="006029FF">
        <w:rPr>
          <w:rFonts w:ascii="Times New Roman" w:hAnsi="Times New Roman"/>
          <w:sz w:val="28"/>
          <w:szCs w:val="28"/>
          <w:highlight w:val="white"/>
        </w:rPr>
        <w:tab/>
        <w:t>ОПРЕДЕЛИЛА:</w:t>
      </w:r>
    </w:p>
    <w:p w14:paraId="491A8810" w14:textId="77777777" w:rsidR="00C369FE" w:rsidRPr="006029FF" w:rsidRDefault="006A088E" w:rsidP="00757EE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9E2AE06" w14:textId="77777777" w:rsidR="00C369FE" w:rsidRPr="006029FF" w:rsidRDefault="006A088E" w:rsidP="00757EEF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029FF">
        <w:rPr>
          <w:rFonts w:ascii="Times New Roman" w:hAnsi="Times New Roman"/>
          <w:sz w:val="28"/>
          <w:szCs w:val="28"/>
          <w:highlight w:val="white"/>
        </w:rPr>
        <w:t xml:space="preserve">Решение </w:t>
      </w:r>
      <w:r w:rsidRPr="006029FF">
        <w:rPr>
          <w:rFonts w:ascii="Times New Roman" w:hAnsi="Times New Roman"/>
          <w:sz w:val="28"/>
          <w:szCs w:val="28"/>
          <w:highlight w:val="white"/>
        </w:rPr>
        <w:t>Коптевского</w:t>
      </w:r>
      <w:r w:rsidRPr="006029FF">
        <w:rPr>
          <w:rFonts w:ascii="Times New Roman" w:hAnsi="Times New Roman"/>
          <w:sz w:val="28"/>
          <w:szCs w:val="28"/>
          <w:highlight w:val="white"/>
        </w:rPr>
        <w:t xml:space="preserve"> районного суда г. Москвы от </w:t>
      </w:r>
      <w:r w:rsidRPr="006029FF">
        <w:rPr>
          <w:rFonts w:ascii="Times New Roman" w:hAnsi="Times New Roman"/>
          <w:sz w:val="28"/>
          <w:szCs w:val="28"/>
          <w:highlight w:val="white"/>
        </w:rPr>
        <w:t>30 июня 2016</w:t>
      </w:r>
      <w:r w:rsidRPr="006029FF">
        <w:rPr>
          <w:rFonts w:ascii="Times New Roman" w:hAnsi="Times New Roman"/>
          <w:sz w:val="28"/>
          <w:szCs w:val="28"/>
          <w:highlight w:val="white"/>
        </w:rPr>
        <w:t xml:space="preserve"> года оставить без изменения, апелляционную жалобу </w:t>
      </w:r>
      <w:r w:rsidRPr="006029FF">
        <w:rPr>
          <w:rFonts w:ascii="Times New Roman" w:hAnsi="Times New Roman"/>
          <w:sz w:val="28"/>
          <w:szCs w:val="28"/>
          <w:highlight w:val="white"/>
        </w:rPr>
        <w:t>истца Толмачева Л.М.</w:t>
      </w:r>
      <w:r w:rsidRPr="006029FF">
        <w:rPr>
          <w:rFonts w:ascii="Times New Roman" w:hAnsi="Times New Roman"/>
          <w:sz w:val="28"/>
          <w:szCs w:val="28"/>
          <w:highlight w:val="white"/>
        </w:rPr>
        <w:t xml:space="preserve"> – без удовлетворения.</w:t>
      </w:r>
    </w:p>
    <w:p w14:paraId="283AD859" w14:textId="77777777" w:rsidR="00C369FE" w:rsidRPr="006029FF" w:rsidRDefault="006A088E" w:rsidP="00757EE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748AA2B3" w14:textId="77777777" w:rsidR="00C369FE" w:rsidRPr="006029FF" w:rsidRDefault="006A088E" w:rsidP="00757EE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029FF">
        <w:rPr>
          <w:rFonts w:ascii="Times New Roman" w:hAnsi="Times New Roman"/>
          <w:sz w:val="28"/>
          <w:szCs w:val="28"/>
          <w:highlight w:val="white"/>
        </w:rPr>
        <w:t>Председательствующий:</w:t>
      </w:r>
    </w:p>
    <w:p w14:paraId="05909B1A" w14:textId="77777777" w:rsidR="00C369FE" w:rsidRPr="006029FF" w:rsidRDefault="006A088E" w:rsidP="00757EE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79AE17B" w14:textId="77777777" w:rsidR="00C369FE" w:rsidRPr="006029FF" w:rsidRDefault="006A088E" w:rsidP="00757EE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029FF">
        <w:rPr>
          <w:rFonts w:ascii="Times New Roman" w:hAnsi="Times New Roman"/>
          <w:sz w:val="28"/>
          <w:szCs w:val="28"/>
          <w:highlight w:val="white"/>
        </w:rPr>
        <w:t>Судьи</w:t>
      </w:r>
    </w:p>
    <w:p w14:paraId="2BC8E588" w14:textId="77777777" w:rsidR="00C369FE" w:rsidRPr="006029FF" w:rsidRDefault="006A088E" w:rsidP="00757EE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51A4E93" w14:textId="77777777" w:rsidR="00081F40" w:rsidRPr="006029FF" w:rsidRDefault="006A088E" w:rsidP="00757EEF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sectPr w:rsidR="00081F40" w:rsidRPr="006029FF" w:rsidSect="00C369FE">
      <w:footerReference w:type="default" r:id="rId17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95A46" w14:textId="77777777" w:rsidR="00C629EB" w:rsidRDefault="006A088E" w:rsidP="00C369FE">
      <w:pPr>
        <w:spacing w:after="0" w:line="240" w:lineRule="auto"/>
      </w:pPr>
      <w:r>
        <w:separator/>
      </w:r>
    </w:p>
  </w:endnote>
  <w:endnote w:type="continuationSeparator" w:id="0">
    <w:p w14:paraId="1D63D965" w14:textId="77777777" w:rsidR="00C629EB" w:rsidRDefault="006A088E" w:rsidP="00C3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42255" w14:textId="77777777" w:rsidR="00C369FE" w:rsidRDefault="006A088E">
    <w:pPr>
      <w:pStyle w:val="a5"/>
      <w:jc w:val="center"/>
    </w:pPr>
    <w:r>
      <w:fldChar w:fldCharType="begin"/>
    </w:r>
    <w:r>
      <w:rPr>
        <w:highlight w:val="white"/>
      </w:rPr>
      <w:instrText>PAGE</w:instrText>
    </w:r>
    <w:r>
      <w:rPr>
        <w:highlight w:val="white"/>
      </w:rPr>
      <w:instrText xml:space="preserve">   \* MERGEFORMAT</w:instrText>
    </w:r>
    <w:r>
      <w:fldChar w:fldCharType="separate"/>
    </w:r>
    <w:r>
      <w:rPr>
        <w:noProof/>
        <w:highlight w:val="white"/>
      </w:rPr>
      <w:t>5</w:t>
    </w:r>
    <w:r>
      <w:fldChar w:fldCharType="end"/>
    </w:r>
  </w:p>
  <w:p w14:paraId="52B5F477" w14:textId="77777777" w:rsidR="00C369FE" w:rsidRDefault="006A08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531C5" w14:textId="77777777" w:rsidR="00C629EB" w:rsidRDefault="006A088E" w:rsidP="00C369FE">
      <w:pPr>
        <w:spacing w:after="0" w:line="240" w:lineRule="auto"/>
      </w:pPr>
      <w:r>
        <w:separator/>
      </w:r>
    </w:p>
  </w:footnote>
  <w:footnote w:type="continuationSeparator" w:id="0">
    <w:p w14:paraId="3623809C" w14:textId="77777777" w:rsidR="00C629EB" w:rsidRDefault="006A088E" w:rsidP="00C36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9FE"/>
    <w:rsid w:val="006A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21ED5D"/>
  <w15:chartTrackingRefBased/>
  <w15:docId w15:val="{B1A06DCA-4040-4D62-B5CF-D4D72333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369FE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">
    <w:name w:val="ConsPlusTitle"/>
    <w:rsid w:val="00C369FE"/>
    <w:pPr>
      <w:widowControl w:val="0"/>
      <w:autoSpaceDE w:val="0"/>
      <w:autoSpaceDN w:val="0"/>
    </w:pPr>
    <w:rPr>
      <w:rFonts w:eastAsia="Times New Roman" w:cs="Calibri"/>
      <w:b/>
      <w:sz w:val="22"/>
      <w:lang w:val="ru-RU" w:eastAsia="ru-RU"/>
    </w:rPr>
  </w:style>
  <w:style w:type="paragraph" w:customStyle="1" w:styleId="ConsPlusTitlePage">
    <w:name w:val="ConsPlusTitlePage"/>
    <w:rsid w:val="00C369FE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C369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C369FE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C369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C369F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C0F06F49C0F30072B4A81E7110370FD4704063F9A66A77FCA22AD8170A0EC3B52578BBDC4nBhEL" TargetMode="External"/><Relationship Id="rId13" Type="http://schemas.openxmlformats.org/officeDocument/2006/relationships/hyperlink" Target="consultantplus://offline/ref=0DD13F27A209A52E0EEA0B01AC1C7245847C59D5DDD19FBD6C2E4FCB86B002D5F7DE37AD8D9A6413i4I1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14A083EDD2C851CDBDA84E823814E51D67E376AA575171CC77D29908EBA6D1E17A4FD55BCSCf6L" TargetMode="External"/><Relationship Id="rId12" Type="http://schemas.openxmlformats.org/officeDocument/2006/relationships/hyperlink" Target="consultantplus://offline/ref=0DD13F27A209A52E0EEA0B01AC1C7245847C59D5DDD19FBD6C2E4FCB86B002D5F7DE37AD8D9A641Ci4I6K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0DD13F27A209A52E0EEA0B01AC1C7245847C59D5DDD19FBD6C2E4FCB86B002D5F7DE37AD8D9A641Ci4I6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0DD13F27A209A52E0EEA0B01AC1C7245847C59D5DDD19FBD6C2E4FCB86B002D5F7DE37AD8D9A661Fi4I5K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0DD13F27A209A52E0EEA0B01AC1C7245847C52DBDADA9FBD6C2E4FCB86B002D5F7DE37AF84i9IDK" TargetMode="External"/><Relationship Id="rId10" Type="http://schemas.openxmlformats.org/officeDocument/2006/relationships/hyperlink" Target="consultantplus://offline/ref=0DD13F27A209A52E0EEA0B01AC1C7245847C52D3DED59FBD6C2E4FCB86B002D5F7DE37AD8D98661Ci4I2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14A083EDD2C851CDBDA84E823814E51D67F336FA77D171CC77D29908EBA6D1E17A4FD57B4CF1875S7fBL" TargetMode="External"/><Relationship Id="rId14" Type="http://schemas.openxmlformats.org/officeDocument/2006/relationships/hyperlink" Target="consultantplus://offline/ref=0DD13F27A209A52E0EEA0B01AC1C7245847C52D4DAD79FBD6C2E4FCB86B002D5F7DE37AD8D9A661Ci4I6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1946</Words>
  <Characters>11093</Characters>
  <Application>Microsoft Office Word</Application>
  <DocSecurity>0</DocSecurity>
  <Lines>92</Lines>
  <Paragraphs>26</Paragraphs>
  <ScaleCrop>false</ScaleCrop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