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095A6A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 xml:space="preserve">Судья: </w:t>
      </w:r>
      <w:r>
        <w:rPr>
          <w:rStyle w:val="cat-FIOgrp-3rplc-0"/>
          <w:b/>
          <w:bCs/>
          <w:sz w:val="28"/>
          <w:szCs w:val="28"/>
          <w:lang w:val="en-BE" w:eastAsia="en-BE" w:bidi="ar-SA"/>
        </w:rPr>
        <w:t>фио</w:t>
      </w:r>
    </w:p>
    <w:p w14:paraId="64DE6F8B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Дело: № 33-45464/2021</w:t>
      </w:r>
    </w:p>
    <w:p w14:paraId="446A1BEF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35BE8401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68DAEE95" w14:textId="77777777" w:rsidR="00000000" w:rsidRDefault="002C7AFE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АПЕЛЛЯЦИОННОЕ ОПРЕДЕЛЕНИЕ</w:t>
      </w:r>
    </w:p>
    <w:p w14:paraId="31FFAA43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</w:p>
    <w:p w14:paraId="3833A7E7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18 ноября 2021г.  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  <w:t xml:space="preserve"> </w:t>
      </w:r>
      <w:r>
        <w:rPr>
          <w:b/>
          <w:bCs/>
          <w:sz w:val="28"/>
          <w:szCs w:val="28"/>
          <w:lang w:val="en-BE" w:eastAsia="en-BE" w:bidi="ar-SA"/>
        </w:rPr>
        <w:tab/>
        <w:t xml:space="preserve"> 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ab/>
        <w:t xml:space="preserve">            </w:t>
      </w:r>
      <w:r>
        <w:rPr>
          <w:b/>
          <w:bCs/>
          <w:sz w:val="28"/>
          <w:szCs w:val="28"/>
          <w:lang w:val="en-BE" w:eastAsia="en-BE" w:bidi="ar-SA"/>
        </w:rPr>
        <w:tab/>
      </w:r>
      <w:r>
        <w:rPr>
          <w:rStyle w:val="cat-Addressgrp-0rplc-1"/>
          <w:b/>
          <w:bCs/>
          <w:sz w:val="28"/>
          <w:szCs w:val="28"/>
          <w:lang w:val="en-BE" w:eastAsia="en-BE" w:bidi="ar-SA"/>
        </w:rPr>
        <w:t>адрес</w:t>
      </w:r>
    </w:p>
    <w:p w14:paraId="30BD2169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62B78079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Судебная коллегия по гражданским делам Московского городского суда в составе председательствующего Ворониной И.В.,</w:t>
      </w:r>
    </w:p>
    <w:p w14:paraId="34C89F2A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судей </w:t>
      </w:r>
      <w:r>
        <w:rPr>
          <w:rStyle w:val="cat-FIOgrp-5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6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</w:p>
    <w:p w14:paraId="0F8ED5BE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помощнике Е</w:t>
      </w:r>
      <w:r>
        <w:rPr>
          <w:sz w:val="28"/>
          <w:szCs w:val="28"/>
          <w:lang w:val="en-BE" w:eastAsia="en-BE" w:bidi="ar-SA"/>
        </w:rPr>
        <w:t xml:space="preserve">горовой А.Е., </w:t>
      </w:r>
    </w:p>
    <w:p w14:paraId="75AA9870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рассмотрев в открытом судебном заседании по докладу судьи </w:t>
      </w:r>
      <w:r>
        <w:rPr>
          <w:rStyle w:val="cat-FIOgrp-5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дело по апелляционным жалобам истца Беланова Р.С. и лица, не привлеченного к участию в деле, - ООО «Лоза», на решение Тимирязевского районного суда </w:t>
      </w:r>
      <w:r>
        <w:rPr>
          <w:rStyle w:val="cat-Addressgrp-0rplc-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29 июня 2021 года, кот</w:t>
      </w:r>
      <w:r>
        <w:rPr>
          <w:sz w:val="28"/>
          <w:szCs w:val="28"/>
          <w:lang w:val="en-BE" w:eastAsia="en-BE" w:bidi="ar-SA"/>
        </w:rPr>
        <w:t>орым постановлено:</w:t>
      </w:r>
    </w:p>
    <w:p w14:paraId="2CA6E64B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«В удовлетворении исковых требований Беланова Романа Сергеевича к ПАО Сбербанк о признании незаконными действия, об обязании разблокировать банковские карты – отказать»,  </w:t>
      </w:r>
    </w:p>
    <w:p w14:paraId="19DD8A6A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6313BCB4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b/>
          <w:bCs/>
          <w:sz w:val="28"/>
          <w:szCs w:val="28"/>
          <w:lang w:val="en-BE" w:eastAsia="en-BE" w:bidi="ar-SA"/>
        </w:rPr>
        <w:t xml:space="preserve"> Установила:</w:t>
      </w:r>
    </w:p>
    <w:p w14:paraId="073B2813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037D1CD9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FIOgrp-10rplc-1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обратился в суд с иском к ПАО «Сбербанк Р</w:t>
      </w:r>
      <w:r>
        <w:rPr>
          <w:sz w:val="28"/>
          <w:szCs w:val="28"/>
          <w:lang w:val="en-BE" w:eastAsia="en-BE" w:bidi="ar-SA"/>
        </w:rPr>
        <w:t>оссии», в котором просит признать незаконными действия ПАО «Сбербанк России» по блокировке банковских карт (VISA7492,ECMC7319),  выданных Беланову Р.С., и  блокировке  Беланову Р.С., услуги Сбербанк Онлайн, обязать ПАО «Сбербанк России» разблокировать банк</w:t>
      </w:r>
      <w:r>
        <w:rPr>
          <w:sz w:val="28"/>
          <w:szCs w:val="28"/>
          <w:lang w:val="en-BE" w:eastAsia="en-BE" w:bidi="ar-SA"/>
        </w:rPr>
        <w:t>овские карты (VISA7492,ECMC7319), выданные Беланову Р.С., возобновить оказание Беланову Р.С. услуги Сбербанк Онлайн.</w:t>
      </w:r>
    </w:p>
    <w:p w14:paraId="71C8704B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 мотивирован тем, что истец является клиентом ПАО «Сбербанк России», в Банке на имя истца открыто несколько расчетных счетов, депозитный</w:t>
      </w:r>
      <w:r>
        <w:rPr>
          <w:sz w:val="28"/>
          <w:szCs w:val="28"/>
          <w:lang w:val="en-BE" w:eastAsia="en-BE" w:bidi="ar-SA"/>
        </w:rPr>
        <w:t xml:space="preserve"> счет (вклад) и несколько банковских карт, в частности карты VISA7492, ECMC7319. На счет истца в Банке (карта VISA7492) 15.12.2020 года из ПАО «БАНК УРАЛСИБ» поступил платеж в размере </w:t>
      </w:r>
      <w:r>
        <w:rPr>
          <w:rStyle w:val="cat-Sumgrp-14rplc-1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ходе совершения исполнительных действий по делу №А60-11502/2019.</w:t>
      </w:r>
      <w:r>
        <w:rPr>
          <w:sz w:val="28"/>
          <w:szCs w:val="28"/>
          <w:lang w:val="en-BE" w:eastAsia="en-BE" w:bidi="ar-SA"/>
        </w:rPr>
        <w:t xml:space="preserve"> Полученные денежные средства поступили в собственность истца  и стали его доходом, и в этой связи денежные средства были сняты истцом через банкоматы Банка с использованием карты ECMC7319 в преддверии новогодних праздников. В течение февраля 2021 года Бан</w:t>
      </w:r>
      <w:r>
        <w:rPr>
          <w:sz w:val="28"/>
          <w:szCs w:val="28"/>
          <w:lang w:val="en-BE" w:eastAsia="en-BE" w:bidi="ar-SA"/>
        </w:rPr>
        <w:t xml:space="preserve">к направлял запросы общего содержания с целью получения информации об источниках поступления средств на счета истца. Истец представил все документы о законности источников поступления средств </w:t>
      </w:r>
      <w:r>
        <w:rPr>
          <w:sz w:val="28"/>
          <w:szCs w:val="28"/>
          <w:lang w:val="en-BE" w:eastAsia="en-BE" w:bidi="ar-SA"/>
        </w:rPr>
        <w:lastRenderedPageBreak/>
        <w:t xml:space="preserve">на его счет и просил Банк предоставить ответ, при этом указывал </w:t>
      </w:r>
      <w:r>
        <w:rPr>
          <w:sz w:val="28"/>
          <w:szCs w:val="28"/>
          <w:lang w:val="en-BE" w:eastAsia="en-BE" w:bidi="ar-SA"/>
        </w:rPr>
        <w:t>о возможности дополнительных разъяснений с целью устранения любых возможных сомнений. 16.02.2021 и 01.03.21 на электронный адрес поступили письма, из которых следовало,  что банковские карты истца и услуга СберБанк Онлайн заблокированы. Никакого обосновани</w:t>
      </w:r>
      <w:r>
        <w:rPr>
          <w:sz w:val="28"/>
          <w:szCs w:val="28"/>
          <w:lang w:val="en-BE" w:eastAsia="en-BE" w:bidi="ar-SA"/>
        </w:rPr>
        <w:t>я своего решения Банк не предоставил, какие конкретно операции по счету признаны Банком сомнительными, истцу неизвестно. Действия ПАО «Сбербанк России» по блокировке банковских карт и услуги СберБанк Онлайн являются незаконными.</w:t>
      </w:r>
    </w:p>
    <w:p w14:paraId="3188E7AE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</w:t>
      </w:r>
      <w:r>
        <w:rPr>
          <w:rStyle w:val="cat-FIOgrp-10rplc-1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</w:t>
      </w:r>
      <w:r>
        <w:rPr>
          <w:sz w:val="28"/>
          <w:szCs w:val="28"/>
          <w:lang w:val="en-BE" w:eastAsia="en-BE" w:bidi="ar-SA"/>
        </w:rPr>
        <w:t xml:space="preserve">ние явился, исковые требования поддержал, просил удовлетворить иск в полном объеме. </w:t>
      </w:r>
    </w:p>
    <w:p w14:paraId="6C2CD08E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Представитель ответчика ПАО «Сбербанк России» </w:t>
      </w:r>
      <w:r>
        <w:rPr>
          <w:rStyle w:val="cat-FIOgrp-11rplc-1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заседание явился, возражал относительно исковых требований по мотивам, изложенным в отзыве на исковое заявлени</w:t>
      </w:r>
      <w:r>
        <w:rPr>
          <w:sz w:val="28"/>
          <w:szCs w:val="28"/>
          <w:lang w:val="en-BE" w:eastAsia="en-BE" w:bidi="ar-SA"/>
        </w:rPr>
        <w:t xml:space="preserve">е. </w:t>
      </w:r>
    </w:p>
    <w:p w14:paraId="0E49C955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Третье лицо ПАО «БАНК УРАЛСИБ», извещенное о дате и времени разбирательства дела, в судебное заседание представителя не направило, представило свою письменную позицию по делу.</w:t>
      </w:r>
    </w:p>
    <w:p w14:paraId="3FBD6B2A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постановлено указанное выше решение, об отмене которого по доводам апе</w:t>
      </w:r>
      <w:r>
        <w:rPr>
          <w:sz w:val="28"/>
          <w:szCs w:val="28"/>
          <w:lang w:val="en-BE" w:eastAsia="en-BE" w:bidi="ar-SA"/>
        </w:rPr>
        <w:t xml:space="preserve">лляционных жалоб просят истец  </w:t>
      </w:r>
      <w:r>
        <w:rPr>
          <w:rStyle w:val="cat-FIOgrp-10rplc-1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и лицо, не привлеченное к участию в деле,- ООО «Лоза», считая его незаконным и необоснованным.</w:t>
      </w:r>
    </w:p>
    <w:p w14:paraId="60C50751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Проверив материалы дела, заслушав истца Беланова Р.С. и представителя ООО «Лоза» по доверенности </w:t>
      </w:r>
      <w:r>
        <w:rPr>
          <w:rStyle w:val="cat-FIOgrp-12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поддержавших доводы свои</w:t>
      </w:r>
      <w:r>
        <w:rPr>
          <w:sz w:val="28"/>
          <w:szCs w:val="28"/>
          <w:lang w:val="en-BE" w:eastAsia="en-BE" w:bidi="ar-SA"/>
        </w:rPr>
        <w:t xml:space="preserve">х апелляционных жалоб, представителя ответчика </w:t>
      </w:r>
      <w:r>
        <w:rPr>
          <w:rStyle w:val="cat-FIOgrp-13rplc-2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возражавшего против апелляционных жалоб, обсудив доводы апелляционных жалоб, судебная коллегия приходит к следующему. </w:t>
      </w:r>
    </w:p>
    <w:p w14:paraId="01B69F32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разрешении заявленных требований суд руководствовался ст.ст. 845, 849, 858 ГК РФ,</w:t>
      </w:r>
      <w:r>
        <w:rPr>
          <w:sz w:val="28"/>
          <w:szCs w:val="28"/>
          <w:lang w:val="en-BE" w:eastAsia="en-BE" w:bidi="ar-SA"/>
        </w:rPr>
        <w:t xml:space="preserve"> положениями Федерального закона от 27.06.2011 № 161-ФЗ «О национальной платежной системе», Федерального закона от 07.08.2001 N 115-ФЗ «О противодействии легализации (отмыванию) доходов, полученных преступным путем, и финансированию терроризма».</w:t>
      </w:r>
    </w:p>
    <w:p w14:paraId="560602CD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</w:t>
      </w:r>
      <w:r>
        <w:rPr>
          <w:sz w:val="28"/>
          <w:szCs w:val="28"/>
          <w:lang w:val="en-BE" w:eastAsia="en-BE" w:bidi="ar-SA"/>
        </w:rPr>
        <w:t>т из материалов дела и установлено в судебном заседании, 31 мая 2013 года между Белановым Р.С., и ПАО «Сбербанк России» был заключен Договор банковского обслуживания № 6006436 (ДБО).</w:t>
      </w:r>
    </w:p>
    <w:p w14:paraId="3FA650CF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1.9 данного договора действие ДБО распространяется на счета к</w:t>
      </w:r>
      <w:r>
        <w:rPr>
          <w:sz w:val="28"/>
          <w:szCs w:val="28"/>
          <w:lang w:val="en-BE" w:eastAsia="en-BE" w:bidi="ar-SA"/>
        </w:rPr>
        <w:t>арт, открытые как до, так и после заключения ДБО.</w:t>
      </w:r>
    </w:p>
    <w:p w14:paraId="6A76F9FA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14 января 2019 года истец заключил с ПАО «Сбербанк России» (ВСП № 7813/1881 Банка) договор на выпуск и обслуживание банковской карты VISA №4279380015887492, счет  №4081781038299552265.</w:t>
      </w:r>
    </w:p>
    <w:p w14:paraId="7160D16C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09 января 2020 года и</w:t>
      </w:r>
      <w:r>
        <w:rPr>
          <w:sz w:val="28"/>
          <w:szCs w:val="28"/>
          <w:lang w:val="en-BE" w:eastAsia="en-BE" w:bidi="ar-SA"/>
        </w:rPr>
        <w:t>стец заключил с ПАО «Сбербанк России» (ВСП № 6901/1735 Банка) договор на выпуск и обслуживание банковской карты WMCBE №5332058092977319, счет  №40817810138294042719.</w:t>
      </w:r>
    </w:p>
    <w:p w14:paraId="2A4F01C4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15 декабря 2020 года истец заключил с ПАО «Сбербанк России» договор сберегательного счета </w:t>
      </w:r>
      <w:r>
        <w:rPr>
          <w:sz w:val="28"/>
          <w:szCs w:val="28"/>
          <w:lang w:val="en-BE" w:eastAsia="en-BE" w:bidi="ar-SA"/>
        </w:rPr>
        <w:t>№  40817810638123688304.</w:t>
      </w:r>
    </w:p>
    <w:p w14:paraId="3403747A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15.12.2020 года и 16.12.2020 года на счет истца №40817810038299552265, открытый в Банке, поступили денежные средства  из ПАО «БАНК УРАЛСИБ» в  размере </w:t>
      </w:r>
      <w:r>
        <w:rPr>
          <w:rStyle w:val="cat-Sumgrp-14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 назначением платежа о взыскании по исполнительному листу по делу №А60-1</w:t>
      </w:r>
      <w:r>
        <w:rPr>
          <w:sz w:val="28"/>
          <w:szCs w:val="28"/>
          <w:lang w:val="en-BE" w:eastAsia="en-BE" w:bidi="ar-SA"/>
        </w:rPr>
        <w:t xml:space="preserve">1502/2019, плательщик ЧПОУ УРФЮРК, получатель </w:t>
      </w:r>
      <w:r>
        <w:rPr>
          <w:rStyle w:val="cat-FIOgrp-10rplc-24"/>
          <w:sz w:val="28"/>
          <w:szCs w:val="28"/>
          <w:lang w:val="en-BE" w:eastAsia="en-BE" w:bidi="ar-SA"/>
        </w:rPr>
        <w:t>фио</w:t>
      </w:r>
    </w:p>
    <w:p w14:paraId="03982F9C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январе 2021 года в Банк поступило обращение ЧПОУ УРФЮРК относительно незаконного списания денежных  средств в сумме </w:t>
      </w:r>
      <w:r>
        <w:rPr>
          <w:rStyle w:val="cat-Sumgrp-15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со счета учреждения в пользу Беланова Р.С., в результате данного сообщения Банком </w:t>
      </w:r>
      <w:r>
        <w:rPr>
          <w:sz w:val="28"/>
          <w:szCs w:val="28"/>
          <w:lang w:val="en-BE" w:eastAsia="en-BE" w:bidi="ar-SA"/>
        </w:rPr>
        <w:t>у истца Беланова Р.С. были истребованы документы для исключения сомнительности перевода.</w:t>
      </w:r>
    </w:p>
    <w:p w14:paraId="00672B7F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представлены решение Арбитражного суда </w:t>
      </w:r>
      <w:r>
        <w:rPr>
          <w:rStyle w:val="cat-Addressgrp-1rplc-2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от 23.12.2019 по делу №А60-11502/2019 о взыскании с ЧПОУ УРФЮРК в пользу ООО «Лоза»  суммы неосновательного обогащ</w:t>
      </w:r>
      <w:r>
        <w:rPr>
          <w:sz w:val="28"/>
          <w:szCs w:val="28"/>
          <w:lang w:val="en-BE" w:eastAsia="en-BE" w:bidi="ar-SA"/>
        </w:rPr>
        <w:t xml:space="preserve">ения в размере </w:t>
      </w:r>
      <w:r>
        <w:rPr>
          <w:rStyle w:val="cat-Sumgrp-16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процентов за пользование чужими денежными средствами </w:t>
      </w:r>
      <w:r>
        <w:rPr>
          <w:rStyle w:val="cat-Sumgrp-17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расходов по оплате государственной пошлины в размере  </w:t>
      </w:r>
      <w:r>
        <w:rPr>
          <w:rStyle w:val="cat-Sumgrp-18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расходов по экспертизе </w:t>
      </w:r>
      <w:r>
        <w:rPr>
          <w:rStyle w:val="cat-Sumgrp-19rplc-3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общей суммы </w:t>
      </w:r>
      <w:r>
        <w:rPr>
          <w:rStyle w:val="cat-Sumgrp-20rplc-3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определение Арбитражного суда </w:t>
      </w:r>
      <w:r>
        <w:rPr>
          <w:rStyle w:val="cat-Addressgrp-1rplc-3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10.11.2020 по делу №А60-1</w:t>
      </w:r>
      <w:r>
        <w:rPr>
          <w:sz w:val="28"/>
          <w:szCs w:val="28"/>
          <w:lang w:val="en-BE" w:eastAsia="en-BE" w:bidi="ar-SA"/>
        </w:rPr>
        <w:t>1502/2019 о замене взыскателя по указанному делу ООО «Лоза» на правопреемника Беланова Р.С. на основании заключенного между ООО «Лоза» и Белановым Р.С. договора уступки требования (цессии) от 06.10.2020.</w:t>
      </w:r>
    </w:p>
    <w:p w14:paraId="10FC66FB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договору уступки требования (цессии) от 06.</w:t>
      </w:r>
      <w:r>
        <w:rPr>
          <w:sz w:val="28"/>
          <w:szCs w:val="28"/>
          <w:lang w:val="en-BE" w:eastAsia="en-BE" w:bidi="ar-SA"/>
        </w:rPr>
        <w:t xml:space="preserve">10.2020 ООО «Лоза» уступило Беланову  Р.С. право на получение от ЧПОУ УРФЮРК взысканных на основании решения Арбитражного суда </w:t>
      </w:r>
      <w:r>
        <w:rPr>
          <w:rStyle w:val="cat-Addressgrp-1rplc-3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от 23.12.2019 по делу №А60-11502/2019 денежных средств на общую сумму </w:t>
      </w:r>
      <w:r>
        <w:rPr>
          <w:rStyle w:val="cat-Sumgrp-20rplc-3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3E07555F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этом цена уступки составляет </w:t>
      </w:r>
      <w:r>
        <w:rPr>
          <w:rStyle w:val="cat-Sumgrp-21rplc-40"/>
          <w:sz w:val="28"/>
          <w:szCs w:val="28"/>
          <w:lang w:val="en-BE" w:eastAsia="en-BE" w:bidi="ar-SA"/>
        </w:rPr>
        <w:t>сумма</w:t>
      </w:r>
    </w:p>
    <w:p w14:paraId="3A62E979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</w:t>
      </w:r>
      <w:r>
        <w:rPr>
          <w:sz w:val="28"/>
          <w:szCs w:val="28"/>
          <w:lang w:val="en-BE" w:eastAsia="en-BE" w:bidi="ar-SA"/>
        </w:rPr>
        <w:t>овании п. 9 ст. 9 Федерального закона от 27.06.2011 N 161-ФЗ "О национальной платежной системе" и соответствующих условий ДБО, 14.07.2018 Банк приостановил действие электронного средства платежа - системы Сбербанк Онлайн и предпринял меры для запроса разъя</w:t>
      </w:r>
      <w:r>
        <w:rPr>
          <w:sz w:val="28"/>
          <w:szCs w:val="28"/>
          <w:lang w:val="en-BE" w:eastAsia="en-BE" w:bidi="ar-SA"/>
        </w:rPr>
        <w:t>сняющей информации у клиента об источнике поступления/происхождения денежных средств по операциям, экономическом смысле проводимых операций.</w:t>
      </w:r>
    </w:p>
    <w:p w14:paraId="7FA38957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После ознакомления с представленными документами Банком было принято решение о блокировке счетов  ввиду наличия  пр</w:t>
      </w:r>
      <w:r>
        <w:rPr>
          <w:sz w:val="28"/>
          <w:szCs w:val="28"/>
          <w:lang w:val="en-BE" w:eastAsia="en-BE" w:bidi="ar-SA"/>
        </w:rPr>
        <w:t>изнаков создания формального документооборота.</w:t>
      </w:r>
    </w:p>
    <w:p w14:paraId="3FD8CC43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Основания и порядок приостановления операций с денежными средствами, отказа в выполнении расчетных операций предусмотрены Федеральным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законом</w:t>
        </w:r>
      </w:hyperlink>
      <w:r>
        <w:rPr>
          <w:sz w:val="28"/>
          <w:szCs w:val="28"/>
          <w:lang w:val="en-BE" w:eastAsia="en-BE" w:bidi="ar-SA"/>
        </w:rPr>
        <w:t xml:space="preserve"> от 07.08.2001 г. N 115-ФЗ "О противодействии легализации (отмыванию) доходов, полученных преступным путем, и финансированию терроризма".</w:t>
      </w:r>
    </w:p>
    <w:p w14:paraId="7B20F157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пункту 2 статьи 7</w:t>
        </w:r>
      </w:hyperlink>
      <w:r>
        <w:rPr>
          <w:sz w:val="28"/>
          <w:szCs w:val="28"/>
          <w:lang w:val="en-BE" w:eastAsia="en-BE" w:bidi="ar-SA"/>
        </w:rPr>
        <w:t xml:space="preserve"> Федерального закона N 115-ФЗ организации, осуществляющие операции с денежными средствами или иным имуществом, обяза</w:t>
      </w:r>
      <w:r>
        <w:rPr>
          <w:sz w:val="28"/>
          <w:szCs w:val="28"/>
          <w:lang w:val="en-BE" w:eastAsia="en-BE" w:bidi="ar-SA"/>
        </w:rPr>
        <w:t xml:space="preserve">ны в целях предотвращения легализации (отмывания) доходов, полученных преступным путем, и финансирования терроризма разрабатывать правила внутреннего контроля, назначать специальных должностных лиц, ответственных за реализацию правил внутреннего контроля, </w:t>
      </w:r>
      <w:r>
        <w:rPr>
          <w:sz w:val="28"/>
          <w:szCs w:val="28"/>
          <w:lang w:val="en-BE" w:eastAsia="en-BE" w:bidi="ar-SA"/>
        </w:rPr>
        <w:t>а также принимать иные внутренние организационные меры в указанных целях.</w:t>
      </w:r>
    </w:p>
    <w:p w14:paraId="39D78FFD" w14:textId="77777777" w:rsidR="00000000" w:rsidRDefault="002C7AF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 Организации, осуществляющие операции с денежными средствами или иным имуществом в соответствии с правилами внутреннего контроля, обязаны документально фиксировать информацию,</w:t>
      </w:r>
      <w:r>
        <w:rPr>
          <w:sz w:val="28"/>
          <w:szCs w:val="28"/>
          <w:lang w:val="en-BE" w:eastAsia="en-BE" w:bidi="ar-SA"/>
        </w:rPr>
        <w:t xml:space="preserve"> полученную в результате реализации указанных правил, и сохранять ее конфиденциальный характер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(абз</w:t>
        </w:r>
        <w:r>
          <w:rPr>
            <w:color w:val="0000EE"/>
            <w:sz w:val="28"/>
            <w:szCs w:val="28"/>
            <w:lang w:val="en-BE" w:eastAsia="en-BE" w:bidi="ar-SA"/>
          </w:rPr>
          <w:t>ац третий пункта 2)</w:t>
        </w:r>
      </w:hyperlink>
      <w:r>
        <w:rPr>
          <w:sz w:val="28"/>
          <w:szCs w:val="28"/>
          <w:lang w:val="en-BE" w:eastAsia="en-BE" w:bidi="ar-SA"/>
        </w:rPr>
        <w:t>.</w:t>
      </w:r>
    </w:p>
    <w:p w14:paraId="1DBBC0A4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Основаниями документального фиксирования информации являются: запутанный или необычный характер сделки, не имеющей очевидного экономического смысла или очевидной законной цели; несоответствие сделки целям деятельности организации, уст</w:t>
      </w:r>
      <w:r>
        <w:rPr>
          <w:sz w:val="28"/>
          <w:szCs w:val="28"/>
          <w:lang w:val="en-BE" w:eastAsia="en-BE" w:bidi="ar-SA"/>
        </w:rPr>
        <w:t>ановленным учредительными документами этой организации; выявление неоднократного совершения операций или сделок, характер которых дает основание полагать, что целью их осуществления является уклонение от процедур обязательного контроля, предусмотренных дан</w:t>
      </w:r>
      <w:r>
        <w:rPr>
          <w:sz w:val="28"/>
          <w:szCs w:val="28"/>
          <w:lang w:val="en-BE" w:eastAsia="en-BE" w:bidi="ar-SA"/>
        </w:rPr>
        <w:t xml:space="preserve">ным федеральным 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законом</w:t>
        </w:r>
      </w:hyperlink>
      <w:r>
        <w:rPr>
          <w:sz w:val="28"/>
          <w:szCs w:val="28"/>
          <w:lang w:val="en-BE" w:eastAsia="en-BE" w:bidi="ar-SA"/>
        </w:rPr>
        <w:t>; совершение операции, сделки клиентом, в отношении которого уполномоченным органом в орган</w:t>
      </w:r>
      <w:r>
        <w:rPr>
          <w:sz w:val="28"/>
          <w:szCs w:val="28"/>
          <w:lang w:val="en-BE" w:eastAsia="en-BE" w:bidi="ar-SA"/>
        </w:rPr>
        <w:t>изацию направлен либо ранее направлялся соответствующий запрос; отказ клиента от совершения разовой операции, в отношении которой у работников организации возникают подозрения, что она осуществляется в целях легализации (отмывания) доходов, полученных прес</w:t>
      </w:r>
      <w:r>
        <w:rPr>
          <w:sz w:val="28"/>
          <w:szCs w:val="28"/>
          <w:lang w:val="en-BE" w:eastAsia="en-BE" w:bidi="ar-SA"/>
        </w:rPr>
        <w:t xml:space="preserve">тупным путем, или финансирования терроризма; иные обстоятельства, дающие основания полагать, что сделки осуществляются в целях легализации (отмывания) доходов, полученных преступным путем, или финансирования терроризма 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(абзац четвертый пункта 2)</w:t>
        </w:r>
      </w:hyperlink>
      <w:r>
        <w:rPr>
          <w:sz w:val="28"/>
          <w:szCs w:val="28"/>
          <w:lang w:val="en-BE" w:eastAsia="en-BE" w:bidi="ar-SA"/>
        </w:rPr>
        <w:t>.</w:t>
      </w:r>
    </w:p>
    <w:p w14:paraId="46DA245A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п. 5.2</w:t>
        </w:r>
      </w:hyperlink>
      <w:r>
        <w:rPr>
          <w:sz w:val="28"/>
          <w:szCs w:val="28"/>
          <w:lang w:val="en-BE" w:eastAsia="en-BE" w:bidi="ar-SA"/>
        </w:rPr>
        <w:t xml:space="preserve"> Положения о требованиях к правилам внутреннего контроля кредитной организации в целях противодействия легализации (отмыванию) доходов, полученных преступным путем, и фин</w:t>
      </w:r>
      <w:r>
        <w:rPr>
          <w:sz w:val="28"/>
          <w:szCs w:val="28"/>
          <w:lang w:val="en-BE" w:eastAsia="en-BE" w:bidi="ar-SA"/>
        </w:rPr>
        <w:t xml:space="preserve">ансированию терроризма, утвержденного Банком России 02.03.2012 г. N 375-П, предусмотрено, что решение о квалификации (деквалификации) операции клиента в качестве подозрительной операции кредитная организация принимает самостоятельно на основании имеющейся </w:t>
      </w:r>
      <w:r>
        <w:rPr>
          <w:sz w:val="28"/>
          <w:szCs w:val="28"/>
          <w:lang w:val="en-BE" w:eastAsia="en-BE" w:bidi="ar-SA"/>
        </w:rPr>
        <w:t>в ее распоряжении информации и документов, характеризующих статус и деятельность клиента, осуществляющего операцию.</w:t>
      </w:r>
    </w:p>
    <w:p w14:paraId="39B16331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Банку предоставлено право, самостоятельно с соблюдением требований внутренних нормативных актов относить сделки клиентов банка к сомнительны</w:t>
      </w:r>
      <w:r>
        <w:rPr>
          <w:sz w:val="28"/>
          <w:szCs w:val="28"/>
          <w:lang w:val="en-BE" w:eastAsia="en-BE" w:bidi="ar-SA"/>
        </w:rPr>
        <w:t>м, влекущим применение внутренних организационных мер, позволяющих банку защищать свои интересы в части соблюдения законности деятельности данной организации, что подтверждается вышеупомянутыми нормативно правовыми актами.</w:t>
      </w:r>
    </w:p>
    <w:p w14:paraId="6537281D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Положением</w:t>
        </w:r>
      </w:hyperlink>
      <w:r>
        <w:rPr>
          <w:sz w:val="28"/>
          <w:szCs w:val="28"/>
          <w:lang w:val="en-BE" w:eastAsia="en-BE" w:bidi="ar-SA"/>
        </w:rPr>
        <w:t xml:space="preserve"> ЦБ РФ N 375-П от 02.03.2012 и разработанными в соответствии с ними Правилами внутреннего контроля Банка также установлены критерии, указ</w:t>
      </w:r>
      <w:r>
        <w:rPr>
          <w:sz w:val="28"/>
          <w:szCs w:val="28"/>
          <w:lang w:val="en-BE" w:eastAsia="en-BE" w:bidi="ar-SA"/>
        </w:rPr>
        <w:t>ывающие на необычный характер операций: код вида признака 1411 (Регулярные зачисления крупных сумм денежных средств от третьих лиц (за исключением кредитов) на банковские счета (депозиты, вклады) физических лиц с последующим снятием этих средств в наличной</w:t>
      </w:r>
      <w:r>
        <w:rPr>
          <w:sz w:val="28"/>
          <w:szCs w:val="28"/>
          <w:lang w:val="en-BE" w:eastAsia="en-BE" w:bidi="ar-SA"/>
        </w:rPr>
        <w:t xml:space="preserve"> форме, либо с их последующим переводом на банковские счета (депозиты, вклады) третьих лиц, либо с последующим проведением указанных операций в различных пропорциях в течение нескольких (3-х банковских) дней) и код вида признака 1499 (Иные признаки, свидет</w:t>
      </w:r>
      <w:r>
        <w:rPr>
          <w:sz w:val="28"/>
          <w:szCs w:val="28"/>
          <w:lang w:val="en-BE" w:eastAsia="en-BE" w:bidi="ar-SA"/>
        </w:rPr>
        <w:t>ельствующие о возможном осуществлении легализации (отмывания) доходов, полученных преступным путем, при проведении операций с денежными средствами в наличной форме и переводов денежных средств).</w:t>
      </w:r>
    </w:p>
    <w:p w14:paraId="100ACE29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условиям ДБО (Договора банковского обслуживания):</w:t>
      </w:r>
    </w:p>
    <w:p w14:paraId="0993A469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4.</w:t>
      </w:r>
      <w:r>
        <w:rPr>
          <w:sz w:val="28"/>
          <w:szCs w:val="28"/>
          <w:lang w:val="en-BE" w:eastAsia="en-BE" w:bidi="ar-SA"/>
        </w:rPr>
        <w:t>2. Клиент обязуется не проводить по Счетам Карт/вкладам/ОМС /Счетам операции, связанные с ведением предпринимательской деятельности.</w:t>
      </w:r>
    </w:p>
    <w:p w14:paraId="0016F563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4.28  Банк имеет право запрашивать у Клиента дополнительную информацию и документы об операциях с денежными средствами, а т</w:t>
      </w:r>
      <w:r>
        <w:rPr>
          <w:sz w:val="28"/>
          <w:szCs w:val="28"/>
          <w:lang w:val="en-BE" w:eastAsia="en-BE" w:bidi="ar-SA"/>
        </w:rPr>
        <w:t>акже информацию и документы, позволяющие установить выгодоприобретателей в соответствии с законодательством Российской Федерации.</w:t>
      </w:r>
    </w:p>
    <w:p w14:paraId="0BD09502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4.29 Банк имеет право не исполнять поручение Клиента в случае не предоставления или предоставления Клиентом неполного комплект</w:t>
      </w:r>
      <w:r>
        <w:rPr>
          <w:sz w:val="28"/>
          <w:szCs w:val="28"/>
          <w:lang w:val="en-BE" w:eastAsia="en-BE" w:bidi="ar-SA"/>
        </w:rPr>
        <w:t>а документов, необходимых Банку, а также в случае противоречия операции законодательству Российской Федерации, банковским правилам и условиям Договора.</w:t>
      </w:r>
    </w:p>
    <w:p w14:paraId="5BF1307D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4.30 Банк имеет право отказать в выполнении распоряжения Клиента о совершении операции, по которой не пр</w:t>
      </w:r>
      <w:r>
        <w:rPr>
          <w:sz w:val="28"/>
          <w:szCs w:val="28"/>
          <w:lang w:val="en-BE" w:eastAsia="en-BE" w:bidi="ar-SA"/>
        </w:rPr>
        <w:t xml:space="preserve">едоставлены информация и документы по запросу Банка, предусмотренные Федеральным </w:t>
      </w:r>
      <w:hyperlink r:id="rId14" w:history="1">
        <w:r>
          <w:rPr>
            <w:color w:val="0000EE"/>
            <w:sz w:val="28"/>
            <w:szCs w:val="28"/>
            <w:lang w:val="en-BE" w:eastAsia="en-BE" w:bidi="ar-SA"/>
          </w:rPr>
          <w:t>законом</w:t>
        </w:r>
      </w:hyperlink>
      <w:r>
        <w:rPr>
          <w:sz w:val="28"/>
          <w:szCs w:val="28"/>
          <w:lang w:val="en-BE" w:eastAsia="en-BE" w:bidi="ar-SA"/>
        </w:rPr>
        <w:t xml:space="preserve"> от 07.08.2001 г. N 115-ФЗ</w:t>
      </w:r>
      <w:r>
        <w:rPr>
          <w:sz w:val="28"/>
          <w:szCs w:val="28"/>
          <w:lang w:val="en-BE" w:eastAsia="en-BE" w:bidi="ar-SA"/>
        </w:rPr>
        <w:t xml:space="preserve"> "О противодействии легализации (отмыванию) доходов, полученных преступным путем, и финансированию терроризма".</w:t>
      </w:r>
    </w:p>
    <w:p w14:paraId="4EDE0CD6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Приложению N 1 к ДБО (Порядок предоставления услуг через </w:t>
      </w:r>
      <w:r>
        <w:rPr>
          <w:rStyle w:val="cat-Addressgrp-2rplc-4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обслуживания):</w:t>
      </w:r>
    </w:p>
    <w:p w14:paraId="379F44CF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3.17. Банк имеет право:</w:t>
      </w:r>
    </w:p>
    <w:p w14:paraId="741F9595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3.17.1. В одностороннем порядке п</w:t>
      </w:r>
      <w:r>
        <w:rPr>
          <w:sz w:val="28"/>
          <w:szCs w:val="28"/>
          <w:lang w:val="en-BE" w:eastAsia="en-BE" w:bidi="ar-SA"/>
        </w:rPr>
        <w:t>рекратить предоставление услуги "Сбербанк Онлайн" в случае нарушения Клиентом своих обязательств в рамках настоящего Порядка.</w:t>
      </w:r>
    </w:p>
    <w:p w14:paraId="7ABA73E8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3.17.2. Приостановить или ограничить предоставление услуг "Сбербанк Онлайн" при выявлении Банком в деятельности Клиента признаков </w:t>
      </w:r>
      <w:r>
        <w:rPr>
          <w:sz w:val="28"/>
          <w:szCs w:val="28"/>
          <w:lang w:val="en-BE" w:eastAsia="en-BE" w:bidi="ar-SA"/>
        </w:rPr>
        <w:t>сомнительных операций и сделок, а также при непредоставлении Клиентом дополнительной информации (документов) Банку, в том числе поясняющей экономический смысл проводимых по Счету операций (сделок).</w:t>
      </w:r>
    </w:p>
    <w:p w14:paraId="5DFD7202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</w:p>
    <w:p w14:paraId="5F0B91C3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</w:p>
    <w:p w14:paraId="59E3DA47" w14:textId="77777777" w:rsidR="00000000" w:rsidRDefault="002C7AF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В силу п. 4.1 Условий выпуска и обслуживания дебе</w:t>
      </w:r>
      <w:r>
        <w:rPr>
          <w:sz w:val="28"/>
          <w:szCs w:val="28"/>
          <w:lang w:val="en-BE" w:eastAsia="en-BE" w:bidi="ar-SA"/>
        </w:rPr>
        <w:t>товой карты ПАО «Сбербанк России» банковская карта является собственностью банка и выдается во временное пользование.</w:t>
      </w:r>
    </w:p>
    <w:p w14:paraId="1539B9FA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4.32 Условий банк имеет право осуществить блокировку карты, если у банка возникают подозрения, что операция совершаетс</w:t>
      </w:r>
      <w:r>
        <w:rPr>
          <w:sz w:val="28"/>
          <w:szCs w:val="28"/>
          <w:lang w:val="en-BE" w:eastAsia="en-BE" w:bidi="ar-SA"/>
        </w:rPr>
        <w:t>я в целях легализации (отмывания доходов), полученных преступным путем, или финансирования терроризма.</w:t>
      </w:r>
    </w:p>
    <w:p w14:paraId="62A059AD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5.10.1 Правил внутреннего контроля Банка, к клиентам, осуществляющим операции, в отношении которых возникают подозрения, что они осущ</w:t>
      </w:r>
      <w:r>
        <w:rPr>
          <w:sz w:val="28"/>
          <w:szCs w:val="28"/>
          <w:lang w:val="en-BE" w:eastAsia="en-BE" w:bidi="ar-SA"/>
        </w:rPr>
        <w:t>ествляются в целях легализации (отмывания) доходов, полученных преступным путем, или финансирования терроризма, банком принимаются следующие меры, в том числе, отказ в выполнении распоряжения клиента - о совершении операции; блокировка банковской карты, по</w:t>
      </w:r>
      <w:r>
        <w:rPr>
          <w:sz w:val="28"/>
          <w:szCs w:val="28"/>
          <w:lang w:val="en-BE" w:eastAsia="en-BE" w:bidi="ar-SA"/>
        </w:rPr>
        <w:t xml:space="preserve"> счету которой совершаются операции, вызывающие подозрение; пересмотр уровня риска клиента.</w:t>
      </w:r>
    </w:p>
    <w:p w14:paraId="3C9D21FB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hyperlink r:id="rId15" w:history="1">
        <w:r>
          <w:rPr>
            <w:color w:val="0000EE"/>
            <w:sz w:val="28"/>
            <w:szCs w:val="28"/>
            <w:lang w:val="en-BE" w:eastAsia="en-BE" w:bidi="ar-SA"/>
          </w:rPr>
          <w:t>п. п. 1.3</w:t>
        </w:r>
      </w:hyperlink>
      <w:r>
        <w:rPr>
          <w:sz w:val="28"/>
          <w:szCs w:val="28"/>
          <w:lang w:val="en-BE" w:eastAsia="en-BE" w:bidi="ar-SA"/>
        </w:rPr>
        <w:t xml:space="preserve"> Приложения N 2 к Рекомендациям, опубликованным с письмом ЦБ РФ от 13.07.2005 г. N 99-Т и приложения 4 Правил внутреннего контроля ПАО «Сбербанк России» общим признаком, свидетельствующими о возможном осуществлении легализации доход</w:t>
      </w:r>
      <w:r>
        <w:rPr>
          <w:sz w:val="28"/>
          <w:szCs w:val="28"/>
          <w:lang w:val="en-BE" w:eastAsia="en-BE" w:bidi="ar-SA"/>
        </w:rPr>
        <w:t>ов, является, отсутствие явного экономического смысла операции, отсутствие очевидной законной цели.</w:t>
      </w:r>
    </w:p>
    <w:p w14:paraId="732D75BE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спор и отказывая в удовлетворении исковых требований, суд исходил из того, что действия ответчика по приостановлению для истца доступа к услуге дис</w:t>
      </w:r>
      <w:r>
        <w:rPr>
          <w:sz w:val="28"/>
          <w:szCs w:val="28"/>
          <w:lang w:val="en-BE" w:eastAsia="en-BE" w:bidi="ar-SA"/>
        </w:rPr>
        <w:t>танционного совершения банковских операций, совершенные в порядке принятия внутренних организационные мер, предусмотренных п.2 ст.7 Федерального закона N 115-ФЗ, являются правомерными, поскольку у ответчика имелись основания для отнесения операций, соверше</w:t>
      </w:r>
      <w:r>
        <w:rPr>
          <w:sz w:val="28"/>
          <w:szCs w:val="28"/>
          <w:lang w:val="en-BE" w:eastAsia="en-BE" w:bidi="ar-SA"/>
        </w:rPr>
        <w:t>нных истцом, к сомнительным в отсутствие сведений, подтверждающих экономический смысл совершенных операций.</w:t>
      </w:r>
    </w:p>
    <w:p w14:paraId="320AF8E1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суд отметил, что блокировка карты является процедурой технического ограничения на совершение операций с ее использованием, предусматривающа</w:t>
      </w:r>
      <w:r>
        <w:rPr>
          <w:sz w:val="28"/>
          <w:szCs w:val="28"/>
          <w:lang w:val="en-BE" w:eastAsia="en-BE" w:bidi="ar-SA"/>
        </w:rPr>
        <w:t>я отказ банка в предоставлении авторизации (получения от банка разрешения, необходимого для использования операции с картой, и обязывающая банк исполнить распоряжение ее держателя), то есть ограничение дистанционной возможности управления счетом.</w:t>
      </w:r>
    </w:p>
    <w:p w14:paraId="69FA9725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Указанное</w:t>
      </w:r>
      <w:r>
        <w:rPr>
          <w:sz w:val="28"/>
          <w:szCs w:val="28"/>
          <w:lang w:val="en-BE" w:eastAsia="en-BE" w:bidi="ar-SA"/>
        </w:rPr>
        <w:t xml:space="preserve"> не нарушает прав клиента на распоряжение денежными средствами, находящимися на его счете, поскольку блокировка карты (проведения операций с использованием карты или ее реквизитов), не является ограничением прав клиента на распоряжение денежными средствами</w:t>
      </w:r>
      <w:r>
        <w:rPr>
          <w:sz w:val="28"/>
          <w:szCs w:val="28"/>
          <w:lang w:val="en-BE" w:eastAsia="en-BE" w:bidi="ar-SA"/>
        </w:rPr>
        <w:t>, находящимися на счете, по смыслу ст. 858 ГК РФ.</w:t>
      </w:r>
    </w:p>
    <w:p w14:paraId="4D854440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не следует, что Банк препятствовал истцу в получении денежных средств со счета карты при личном обращении истца в отделение ПАО Сбербанк или нарушил право истца по распоряжению банковским</w:t>
      </w:r>
      <w:r>
        <w:rPr>
          <w:sz w:val="28"/>
          <w:szCs w:val="28"/>
          <w:lang w:val="en-BE" w:eastAsia="en-BE" w:bidi="ar-SA"/>
        </w:rPr>
        <w:t xml:space="preserve"> счетом. Доказательств того, что истец был лишен возможности получить денежные средства в банке при личной явке, материалы дела не содержат.</w:t>
      </w:r>
    </w:p>
    <w:p w14:paraId="0C9834FA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Судебная коллегия полагает, что, разрешая заявленные требования, суд правильно определил юридически значимые обстоя</w:t>
      </w:r>
      <w:r>
        <w:rPr>
          <w:sz w:val="28"/>
          <w:szCs w:val="28"/>
          <w:lang w:val="en-BE" w:eastAsia="en-BE" w:bidi="ar-SA"/>
        </w:rPr>
        <w:t>тельства дела, применил закон, подлежащий применению, дал надлежащую правовую оценку собранным и исследованным в судебном заседании доказательствам.</w:t>
      </w:r>
    </w:p>
    <w:p w14:paraId="4635199C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Доводы апелляционной жалобы истца Беланова Р.С. о том, что у ответчика отсутствовали законные основания для</w:t>
      </w:r>
      <w:r>
        <w:rPr>
          <w:sz w:val="28"/>
          <w:szCs w:val="28"/>
          <w:lang w:val="en-BE" w:eastAsia="en-BE" w:bidi="ar-SA"/>
        </w:rPr>
        <w:t xml:space="preserve"> блокировки банковских карт и услуги Сбербанк Онлайн, поскольку законность сделки по уступке права (цессии) подтверждена судебным постановлением, истец законно получил исполнительный лист, и представленные истцом в банк документы являются надлежащими, не м</w:t>
      </w:r>
      <w:r>
        <w:rPr>
          <w:sz w:val="28"/>
          <w:szCs w:val="28"/>
          <w:lang w:val="en-BE" w:eastAsia="en-BE" w:bidi="ar-SA"/>
        </w:rPr>
        <w:t>огут повлечь отмену решения суда.</w:t>
      </w:r>
    </w:p>
    <w:p w14:paraId="7E2457C0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рассматриваемом случае Банк, приостановив дистанционное обслуживание клиента, исполнял возложенные на него публично-правовые обязанности. Действия Банка соответствовали указанным требованиям </w:t>
      </w:r>
      <w:hyperlink r:id="rId16" w:history="1">
        <w:r>
          <w:rPr>
            <w:color w:val="0000EE"/>
            <w:sz w:val="28"/>
            <w:szCs w:val="28"/>
            <w:lang w:val="en-BE" w:eastAsia="en-BE" w:bidi="ar-SA"/>
          </w:rPr>
          <w:t>Закона</w:t>
        </w:r>
      </w:hyperlink>
      <w:r>
        <w:rPr>
          <w:sz w:val="28"/>
          <w:szCs w:val="28"/>
          <w:lang w:val="en-BE" w:eastAsia="en-BE" w:bidi="ar-SA"/>
        </w:rPr>
        <w:t xml:space="preserve"> № 115-ФЗ, банковскому законодательству, поскольку банк выявил признаки отнесения операций к сомнительным, принимая во внимание незначите</w:t>
      </w:r>
      <w:r>
        <w:rPr>
          <w:sz w:val="28"/>
          <w:szCs w:val="28"/>
          <w:lang w:val="en-BE" w:eastAsia="en-BE" w:bidi="ar-SA"/>
        </w:rPr>
        <w:t>льную цену уступленного права при получении значительной суммы долга по договору цессии, а также использование счетов физического лица для совершения операций, связанных с предпринимательской деятельностью.</w:t>
      </w:r>
    </w:p>
    <w:p w14:paraId="53475809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этом приостановление услуг дистанционного обс</w:t>
      </w:r>
      <w:r>
        <w:rPr>
          <w:sz w:val="28"/>
          <w:szCs w:val="28"/>
          <w:lang w:val="en-BE" w:eastAsia="en-BE" w:bidi="ar-SA"/>
        </w:rPr>
        <w:t>луживания не означает невозможности проведения операций по счету.</w:t>
      </w:r>
    </w:p>
    <w:p w14:paraId="730931B3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Иные доводы апелляционной жалобы истца не содержат данных, которые не были бы проверены судом первой инстанции при рассмотрении дела, но имели бы существенное значение для его разрешения или</w:t>
      </w:r>
      <w:r>
        <w:rPr>
          <w:sz w:val="28"/>
          <w:szCs w:val="28"/>
          <w:lang w:val="en-BE" w:eastAsia="en-BE" w:bidi="ar-SA"/>
        </w:rPr>
        <w:t xml:space="preserve"> сведений, опровергающих выводы решения суда, в связи с чем, оснований, предусмотренных </w:t>
      </w:r>
      <w:hyperlink r:id="rId17" w:history="1">
        <w:r>
          <w:rPr>
            <w:color w:val="0000EE"/>
            <w:sz w:val="28"/>
            <w:szCs w:val="28"/>
            <w:lang w:val="en-BE" w:eastAsia="en-BE" w:bidi="ar-SA"/>
          </w:rPr>
          <w:t>ст.330</w:t>
        </w:r>
      </w:hyperlink>
      <w:r>
        <w:rPr>
          <w:sz w:val="28"/>
          <w:szCs w:val="28"/>
          <w:lang w:val="en-BE" w:eastAsia="en-BE" w:bidi="ar-SA"/>
        </w:rPr>
        <w:t xml:space="preserve"> ГПК РФ, для отмены решения суда по </w:t>
      </w:r>
      <w:r>
        <w:rPr>
          <w:sz w:val="28"/>
          <w:szCs w:val="28"/>
          <w:lang w:val="en-BE" w:eastAsia="en-BE" w:bidi="ar-SA"/>
        </w:rPr>
        <w:t xml:space="preserve">доводам апелляционной жалобы истца судебная коллегия не усматривает. </w:t>
      </w:r>
    </w:p>
    <w:p w14:paraId="42C49777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hyperlink r:id="rId18" w:history="1">
        <w:r>
          <w:rPr>
            <w:color w:val="0000EE"/>
            <w:sz w:val="28"/>
            <w:szCs w:val="28"/>
            <w:lang w:val="en-BE" w:eastAsia="en-BE" w:bidi="ar-SA"/>
          </w:rPr>
          <w:t>п. 4 ст. 328</w:t>
        </w:r>
      </w:hyperlink>
      <w:r>
        <w:rPr>
          <w:sz w:val="28"/>
          <w:szCs w:val="28"/>
          <w:lang w:val="en-BE" w:eastAsia="en-BE" w:bidi="ar-SA"/>
        </w:rPr>
        <w:t xml:space="preserve"> ГПК РФ в результате рассмотрения апелляционных жалобы, представления суд апелляционной инстанции вправе оставить апелляционную жалобу, представление без рассмотрения по существу.</w:t>
      </w:r>
    </w:p>
    <w:p w14:paraId="0AF37864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hyperlink r:id="rId19" w:history="1">
        <w:r>
          <w:rPr>
            <w:color w:val="0000EE"/>
            <w:sz w:val="28"/>
            <w:szCs w:val="28"/>
            <w:lang w:val="en-BE" w:eastAsia="en-BE" w:bidi="ar-SA"/>
          </w:rPr>
          <w:t>Частью 4 статьи 1</w:t>
        </w:r>
      </w:hyperlink>
      <w:r>
        <w:rPr>
          <w:sz w:val="28"/>
          <w:szCs w:val="28"/>
          <w:lang w:val="en-BE" w:eastAsia="en-BE" w:bidi="ar-SA"/>
        </w:rPr>
        <w:t xml:space="preserve"> ГПК РФ установлено, что в случае отсутствия нормы процессуального права, регулирующей отношения, возникшие в ходе гражданского судопроизводства, суд применяет норму, регулирующую сх</w:t>
      </w:r>
      <w:r>
        <w:rPr>
          <w:sz w:val="28"/>
          <w:szCs w:val="28"/>
          <w:lang w:val="en-BE" w:eastAsia="en-BE" w:bidi="ar-SA"/>
        </w:rPr>
        <w:t>одные отношения (аналогия закона), а при отсутствии такой нормы действует исходя из принципов осуществления правосудия в Российской Федерации (аналогия права).</w:t>
      </w:r>
    </w:p>
    <w:p w14:paraId="395E44BC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320 ГПК РФ право апелляционного обжалования определения суда принадлежит с</w:t>
      </w:r>
      <w:r>
        <w:rPr>
          <w:sz w:val="28"/>
          <w:szCs w:val="28"/>
          <w:lang w:val="en-BE" w:eastAsia="en-BE" w:bidi="ar-SA"/>
        </w:rPr>
        <w:t>торонам и другим лицам, участвующим в деле. Право принесения апелляционного представления принадлежит прокурору, участвующему в деле.</w:t>
      </w:r>
    </w:p>
    <w:p w14:paraId="707FA0CF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Апелляционную жалобу вправе подать также лица, которые не были привлечены к участию в деле и вопрос о правах и об обязанно</w:t>
      </w:r>
      <w:r>
        <w:rPr>
          <w:sz w:val="28"/>
          <w:szCs w:val="28"/>
          <w:lang w:val="en-BE" w:eastAsia="en-BE" w:bidi="ar-SA"/>
        </w:rPr>
        <w:t>стях которых был разрешен судом.</w:t>
      </w:r>
    </w:p>
    <w:p w14:paraId="6B490E19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разъяснениям, содержащимся в п.24 Пленума Верховного Суда Российской Федерации от 22 июня 2021 г. N 16 "О применении судами норм гражданского процессуального законодательства, регламентирующих производство в суде а</w:t>
      </w:r>
      <w:r>
        <w:rPr>
          <w:sz w:val="28"/>
          <w:szCs w:val="28"/>
          <w:lang w:val="en-BE" w:eastAsia="en-BE" w:bidi="ar-SA"/>
        </w:rPr>
        <w:t xml:space="preserve">пелляционной инстанции" по смыслу </w:t>
      </w:r>
      <w:hyperlink r:id="rId20" w:history="1">
        <w:r>
          <w:rPr>
            <w:color w:val="0000EE"/>
            <w:sz w:val="28"/>
            <w:szCs w:val="28"/>
            <w:lang w:val="en-BE" w:eastAsia="en-BE" w:bidi="ar-SA"/>
          </w:rPr>
          <w:t>части 3 статьи 320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21" w:history="1">
        <w:r>
          <w:rPr>
            <w:color w:val="0000EE"/>
            <w:sz w:val="28"/>
            <w:szCs w:val="28"/>
            <w:lang w:val="en-BE" w:eastAsia="en-BE" w:bidi="ar-SA"/>
          </w:rPr>
          <w:t>пунктов 2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22" w:history="1">
        <w:r>
          <w:rPr>
            <w:color w:val="0000EE"/>
            <w:sz w:val="28"/>
            <w:szCs w:val="28"/>
            <w:lang w:val="en-BE" w:eastAsia="en-BE" w:bidi="ar-SA"/>
          </w:rPr>
          <w:t>4 части 1 статьи 322</w:t>
        </w:r>
      </w:hyperlink>
      <w:r>
        <w:rPr>
          <w:sz w:val="28"/>
          <w:szCs w:val="28"/>
          <w:lang w:val="en-BE" w:eastAsia="en-BE" w:bidi="ar-SA"/>
        </w:rPr>
        <w:t xml:space="preserve"> ГПК РФ в апелляционной жалобе, поданной лицом, не привлеченным к участию в деле, должно быть указано, в чем состоит нарушение его прав, свобод или законных интересов обжалуемым решением суда.</w:t>
      </w:r>
    </w:p>
    <w:p w14:paraId="6CAEBA4F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Аналогичные </w:t>
      </w:r>
      <w:r>
        <w:rPr>
          <w:sz w:val="28"/>
          <w:szCs w:val="28"/>
          <w:lang w:val="en-BE" w:eastAsia="en-BE" w:bidi="ar-SA"/>
        </w:rPr>
        <w:t xml:space="preserve">разъяснения ранее содержались в </w:t>
      </w:r>
      <w:hyperlink r:id="rId23" w:history="1">
        <w:r>
          <w:rPr>
            <w:color w:val="0000EE"/>
            <w:sz w:val="28"/>
            <w:szCs w:val="28"/>
            <w:lang w:val="en-BE" w:eastAsia="en-BE" w:bidi="ar-SA"/>
          </w:rPr>
          <w:t>Постановлении</w:t>
        </w:r>
      </w:hyperlink>
      <w:r>
        <w:rPr>
          <w:sz w:val="28"/>
          <w:szCs w:val="28"/>
          <w:lang w:val="en-BE" w:eastAsia="en-BE" w:bidi="ar-SA"/>
        </w:rPr>
        <w:t xml:space="preserve"> Пленума Верховного Суда Российской Федерации от 19 июня 2012 г. N 13</w:t>
      </w:r>
      <w:r>
        <w:rPr>
          <w:sz w:val="28"/>
          <w:szCs w:val="28"/>
          <w:lang w:val="en-BE" w:eastAsia="en-BE" w:bidi="ar-SA"/>
        </w:rPr>
        <w:t xml:space="preserve"> "О применении судами норм гражданского процессуального законодательства, регламентирующих производство в суде апелляционной инстанции" (п.п.11, 14).</w:t>
      </w:r>
    </w:p>
    <w:p w14:paraId="062E51D4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апелляционной жалобе ООО «Лоза» ссылается на то, что обжалуемым решением суда затронуты права и обязанно</w:t>
      </w:r>
      <w:r>
        <w:rPr>
          <w:sz w:val="28"/>
          <w:szCs w:val="28"/>
          <w:lang w:val="en-BE" w:eastAsia="en-BE" w:bidi="ar-SA"/>
        </w:rPr>
        <w:t>сти ООО «Лоза», поскольку судом сделан вывод об отсутствии экономической целесообразности операций, то есть фактически сделан вывод о недействительности права требования, уступленного ООО «Лоза» истцу Беланову  Р.С.</w:t>
      </w:r>
    </w:p>
    <w:p w14:paraId="3A05DF7F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Между тем, обжалуемым решением суда пра</w:t>
      </w:r>
      <w:r>
        <w:rPr>
          <w:sz w:val="28"/>
          <w:szCs w:val="28"/>
          <w:lang w:val="en-BE" w:eastAsia="en-BE" w:bidi="ar-SA"/>
        </w:rPr>
        <w:t>ва и законные интересы ООО «Лоза», обратившегося с апелляционной жалобой, не нарушены, оно не лишено и не ограничено в правах, какие-либо обязанности на него данным решением также не возложены.</w:t>
      </w:r>
    </w:p>
    <w:p w14:paraId="0E5BEECB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следует, что никаких мер к ООО «Лоза» ПАО «</w:t>
      </w:r>
      <w:r>
        <w:rPr>
          <w:sz w:val="28"/>
          <w:szCs w:val="28"/>
          <w:lang w:val="en-BE" w:eastAsia="en-BE" w:bidi="ar-SA"/>
        </w:rPr>
        <w:t>Сбербанк России» не предпринималось.</w:t>
      </w:r>
    </w:p>
    <w:p w14:paraId="77E4AB8C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Требования о признании договора уступки права (цессии) от 06.10.2020г. недействительным не заявлялись.</w:t>
      </w:r>
    </w:p>
    <w:p w14:paraId="1A9616D8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судебная коллегия приходит к выводу, что вынесенное судом решение не затрагивает права и обязанности </w:t>
      </w:r>
      <w:r>
        <w:rPr>
          <w:sz w:val="28"/>
          <w:szCs w:val="28"/>
          <w:lang w:val="en-BE" w:eastAsia="en-BE" w:bidi="ar-SA"/>
        </w:rPr>
        <w:t>ООО «Лоза», соответственно, ООО «Лоза» не обладает правом на обжалование решения суда.</w:t>
      </w:r>
    </w:p>
    <w:p w14:paraId="0AF70F0D" w14:textId="77777777" w:rsidR="00000000" w:rsidRDefault="002C7AFE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В соответствии с разъяснениями, содержащимися в </w:t>
      </w:r>
      <w:hyperlink r:id="rId24" w:history="1">
        <w:r>
          <w:rPr>
            <w:color w:val="0000EE"/>
            <w:sz w:val="28"/>
            <w:szCs w:val="28"/>
            <w:lang w:val="en-BE" w:eastAsia="en-BE" w:bidi="ar-SA"/>
          </w:rPr>
          <w:t>абзаце 4 пункта 59</w:t>
        </w:r>
      </w:hyperlink>
      <w:r>
        <w:rPr>
          <w:sz w:val="28"/>
          <w:szCs w:val="28"/>
          <w:lang w:val="en-BE" w:eastAsia="en-BE" w:bidi="ar-SA"/>
        </w:rPr>
        <w:t xml:space="preserve"> постановления Пленума Верховного Суда Российской Федерации от 22 июня 2021 г. N 16 "О применении судами норм гражданского процессуального законодательства, регламентирующих производство в суде</w:t>
      </w:r>
      <w:r>
        <w:rPr>
          <w:sz w:val="28"/>
          <w:szCs w:val="28"/>
          <w:lang w:val="en-BE" w:eastAsia="en-BE" w:bidi="ar-SA"/>
        </w:rPr>
        <w:t xml:space="preserve"> апелляционной инстанции", если при рассмотрении апелляционной жалобы лица, не привлеченного к участию в деле, будет установлено, что обжалуемым судебным постановлением не разрешен вопрос о правах и обязанностях этого лица, суд апелляционной инстанции на о</w:t>
      </w:r>
      <w:r>
        <w:rPr>
          <w:sz w:val="28"/>
          <w:szCs w:val="28"/>
          <w:lang w:val="en-BE" w:eastAsia="en-BE" w:bidi="ar-SA"/>
        </w:rPr>
        <w:t xml:space="preserve">сновании </w:t>
      </w:r>
      <w:hyperlink r:id="rId25" w:history="1">
        <w:r>
          <w:rPr>
            <w:color w:val="0000EE"/>
            <w:sz w:val="28"/>
            <w:szCs w:val="28"/>
            <w:lang w:val="en-BE" w:eastAsia="en-BE" w:bidi="ar-SA"/>
          </w:rPr>
          <w:t>части 4 статьи 1</w:t>
        </w:r>
      </w:hyperlink>
      <w:r>
        <w:rPr>
          <w:sz w:val="28"/>
          <w:szCs w:val="28"/>
          <w:lang w:val="en-BE" w:eastAsia="en-BE" w:bidi="ar-SA"/>
        </w:rPr>
        <w:t xml:space="preserve"> и </w:t>
      </w:r>
      <w:hyperlink r:id="rId26" w:history="1">
        <w:r>
          <w:rPr>
            <w:color w:val="0000EE"/>
            <w:sz w:val="28"/>
            <w:szCs w:val="28"/>
            <w:lang w:val="en-BE" w:eastAsia="en-BE" w:bidi="ar-SA"/>
          </w:rPr>
          <w:t>пункта 4 статьи 328</w:t>
        </w:r>
      </w:hyperlink>
      <w:r>
        <w:rPr>
          <w:sz w:val="28"/>
          <w:szCs w:val="28"/>
          <w:lang w:val="en-BE" w:eastAsia="en-BE" w:bidi="ar-SA"/>
        </w:rPr>
        <w:t xml:space="preserve"> Гражданского процессуального кодекса Российской Федерации выносит определение об оставлении апелляционной жалобы без рассмотрения по существу.</w:t>
      </w:r>
      <w:r>
        <w:rPr>
          <w:sz w:val="28"/>
          <w:szCs w:val="28"/>
          <w:lang w:val="en-BE" w:eastAsia="en-BE" w:bidi="ar-SA"/>
        </w:rPr>
        <w:t xml:space="preserve"> Аналогичные разъяснения ранее содержались в </w:t>
      </w:r>
      <w:hyperlink r:id="rId27" w:history="1">
        <w:r>
          <w:rPr>
            <w:color w:val="0000EE"/>
            <w:sz w:val="28"/>
            <w:szCs w:val="28"/>
            <w:lang w:val="en-BE" w:eastAsia="en-BE" w:bidi="ar-SA"/>
          </w:rPr>
          <w:t>Постановлении</w:t>
        </w:r>
      </w:hyperlink>
      <w:r>
        <w:rPr>
          <w:sz w:val="28"/>
          <w:szCs w:val="28"/>
          <w:lang w:val="en-BE" w:eastAsia="en-BE" w:bidi="ar-SA"/>
        </w:rPr>
        <w:t xml:space="preserve"> Пленума Верховного Суда Российской Федерации от 19 июня</w:t>
      </w:r>
      <w:r>
        <w:rPr>
          <w:sz w:val="28"/>
          <w:szCs w:val="28"/>
          <w:lang w:val="en-BE" w:eastAsia="en-BE" w:bidi="ar-SA"/>
        </w:rPr>
        <w:t xml:space="preserve"> 2012 г. N 13 "О применении судами норм гражданского процессуального законодательства, регламентирующих производство в суде апелляционной инстанции" (п.40).</w:t>
      </w:r>
    </w:p>
    <w:p w14:paraId="43090A23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Учитывая вышеизложенное, судебная коллегия приходит к выводу о необходимости оставления  апелляцио</w:t>
      </w:r>
      <w:r>
        <w:rPr>
          <w:sz w:val="28"/>
          <w:szCs w:val="28"/>
          <w:lang w:val="en-BE" w:eastAsia="en-BE" w:bidi="ar-SA"/>
        </w:rPr>
        <w:t xml:space="preserve">нной жалобы лица, не привлеченного к участию в деле,- ООО «Лоза» на решение Тимирязевского районного суда </w:t>
      </w:r>
      <w:r>
        <w:rPr>
          <w:rStyle w:val="cat-Addressgrp-0rplc-4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29 июня 2021 года без рассмотрения по существу.</w:t>
      </w:r>
    </w:p>
    <w:p w14:paraId="4CD6C531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Руководствуясь </w:t>
      </w:r>
      <w:hyperlink r:id="rId28" w:history="1">
        <w:r>
          <w:rPr>
            <w:color w:val="0000EE"/>
            <w:sz w:val="28"/>
            <w:szCs w:val="28"/>
            <w:lang w:val="en-BE" w:eastAsia="en-BE" w:bidi="ar-SA"/>
          </w:rPr>
          <w:t>ст.ст. 328</w:t>
        </w:r>
      </w:hyperlink>
      <w:r>
        <w:rPr>
          <w:sz w:val="28"/>
          <w:szCs w:val="28"/>
          <w:lang w:val="en-BE" w:eastAsia="en-BE" w:bidi="ar-SA"/>
        </w:rPr>
        <w:t xml:space="preserve">, </w:t>
      </w:r>
      <w:hyperlink r:id="rId29" w:history="1">
        <w:r>
          <w:rPr>
            <w:color w:val="0000EE"/>
            <w:sz w:val="28"/>
            <w:szCs w:val="28"/>
            <w:lang w:val="en-BE" w:eastAsia="en-BE" w:bidi="ar-SA"/>
          </w:rPr>
          <w:t>329</w:t>
        </w:r>
      </w:hyperlink>
      <w:r>
        <w:rPr>
          <w:sz w:val="28"/>
          <w:szCs w:val="28"/>
          <w:lang w:val="en-BE" w:eastAsia="en-BE" w:bidi="ar-SA"/>
        </w:rPr>
        <w:t xml:space="preserve"> ГПК РФ, судебная коллегия</w:t>
      </w:r>
    </w:p>
    <w:p w14:paraId="6657D8E4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</w:p>
    <w:p w14:paraId="532898D7" w14:textId="77777777" w:rsidR="00000000" w:rsidRDefault="002C7AFE">
      <w:pPr>
        <w:widowControl w:val="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определила:</w:t>
      </w:r>
    </w:p>
    <w:p w14:paraId="577C4D2A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</w:p>
    <w:p w14:paraId="56A93506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Апелляционную жалобу</w:t>
      </w:r>
      <w:r>
        <w:rPr>
          <w:sz w:val="28"/>
          <w:szCs w:val="28"/>
          <w:lang w:val="en-BE" w:eastAsia="en-BE" w:bidi="ar-SA"/>
        </w:rPr>
        <w:t xml:space="preserve"> лица, не привлеченного к участию в деле, - ООО «Лоза», на решение Тимирязевского районного суда </w:t>
      </w:r>
      <w:r>
        <w:rPr>
          <w:rStyle w:val="cat-Addressgrp-0rplc-4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29 июня 2021 года оставить без рассмотрения по существу.</w:t>
      </w:r>
    </w:p>
    <w:p w14:paraId="34640F2E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7DA7360B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Тимирязевского районного суда </w:t>
      </w:r>
      <w:r>
        <w:rPr>
          <w:rStyle w:val="cat-Addressgrp-0rplc-4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29 июня 2021 года оставить без изменения, апе</w:t>
      </w:r>
      <w:r>
        <w:rPr>
          <w:sz w:val="28"/>
          <w:szCs w:val="28"/>
          <w:lang w:val="en-BE" w:eastAsia="en-BE" w:bidi="ar-SA"/>
        </w:rPr>
        <w:t>лляционную жалобу истца Беланова Р.С.- без удовлетворения.</w:t>
      </w:r>
    </w:p>
    <w:p w14:paraId="12D13823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7F635F2B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2246E743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Председательствующий </w:t>
      </w:r>
    </w:p>
    <w:p w14:paraId="1522CBE3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72F46F12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Судьи </w:t>
      </w:r>
    </w:p>
    <w:p w14:paraId="2655FACE" w14:textId="77777777" w:rsidR="00000000" w:rsidRDefault="002C7AFE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</w:p>
    <w:p w14:paraId="4B836EA7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C38D0E4" w14:textId="77777777" w:rsidR="00000000" w:rsidRDefault="002C7AFE">
      <w:pPr>
        <w:ind w:firstLine="567"/>
        <w:jc w:val="both"/>
        <w:rPr>
          <w:sz w:val="28"/>
          <w:szCs w:val="28"/>
          <w:lang w:val="en-BE" w:eastAsia="en-BE" w:bidi="ar-SA"/>
        </w:rPr>
      </w:pPr>
    </w:p>
    <w:sectPr w:rsidR="00000000">
      <w:footerReference w:type="default" r:id="rId3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53D27" w14:textId="77777777" w:rsidR="00000000" w:rsidRDefault="002C7AFE">
      <w:r>
        <w:separator/>
      </w:r>
    </w:p>
  </w:endnote>
  <w:endnote w:type="continuationSeparator" w:id="0">
    <w:p w14:paraId="0775E994" w14:textId="77777777" w:rsidR="00000000" w:rsidRDefault="002C7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6DACE" w14:textId="77777777" w:rsidR="00000000" w:rsidRDefault="002C7AFE">
    <w:pPr>
      <w:spacing w:after="200" w:line="276" w:lineRule="auto"/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38D4F28B" w14:textId="77777777" w:rsidR="00000000" w:rsidRDefault="002C7AFE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27498" w14:textId="77777777" w:rsidR="00000000" w:rsidRDefault="002C7AFE">
      <w:r>
        <w:separator/>
      </w:r>
    </w:p>
  </w:footnote>
  <w:footnote w:type="continuationSeparator" w:id="0">
    <w:p w14:paraId="68A97D14" w14:textId="77777777" w:rsidR="00000000" w:rsidRDefault="002C7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AFE"/>
    <w:rsid w:val="002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CABD6AE"/>
  <w15:chartTrackingRefBased/>
  <w15:docId w15:val="{4D1A2901-B5F0-43ED-8BD6-2744E9BD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3rplc-0">
    <w:name w:val="cat-FIO grp-3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FIOgrp-6rplc-4">
    <w:name w:val="cat-FIO grp-6 rplc-4"/>
    <w:basedOn w:val="a0"/>
  </w:style>
  <w:style w:type="character" w:customStyle="1" w:styleId="cat-FIOgrp-5rplc-6">
    <w:name w:val="cat-FIO grp-5 rplc-6"/>
    <w:basedOn w:val="a0"/>
  </w:style>
  <w:style w:type="character" w:customStyle="1" w:styleId="cat-Addressgrp-0rplc-8">
    <w:name w:val="cat-Address grp-0 rplc-8"/>
    <w:basedOn w:val="a0"/>
  </w:style>
  <w:style w:type="character" w:customStyle="1" w:styleId="cat-FIOgrp-10rplc-10">
    <w:name w:val="cat-FIO grp-10 rplc-10"/>
    <w:basedOn w:val="a0"/>
  </w:style>
  <w:style w:type="character" w:customStyle="1" w:styleId="cat-Sumgrp-14rplc-15">
    <w:name w:val="cat-Sum grp-14 rplc-15"/>
    <w:basedOn w:val="a0"/>
  </w:style>
  <w:style w:type="character" w:customStyle="1" w:styleId="cat-FIOgrp-10rplc-16">
    <w:name w:val="cat-FIO grp-10 rplc-16"/>
    <w:basedOn w:val="a0"/>
  </w:style>
  <w:style w:type="character" w:customStyle="1" w:styleId="cat-FIOgrp-11rplc-17">
    <w:name w:val="cat-FIO grp-11 rplc-17"/>
    <w:basedOn w:val="a0"/>
  </w:style>
  <w:style w:type="character" w:customStyle="1" w:styleId="cat-FIOgrp-10rplc-18">
    <w:name w:val="cat-FIO grp-10 rplc-18"/>
    <w:basedOn w:val="a0"/>
  </w:style>
  <w:style w:type="character" w:customStyle="1" w:styleId="cat-FIOgrp-12rplc-20">
    <w:name w:val="cat-FIO grp-12 rplc-20"/>
    <w:basedOn w:val="a0"/>
  </w:style>
  <w:style w:type="character" w:customStyle="1" w:styleId="cat-FIOgrp-13rplc-21">
    <w:name w:val="cat-FIO grp-13 rplc-21"/>
    <w:basedOn w:val="a0"/>
  </w:style>
  <w:style w:type="character" w:customStyle="1" w:styleId="cat-Sumgrp-14rplc-23">
    <w:name w:val="cat-Sum grp-14 rplc-23"/>
    <w:basedOn w:val="a0"/>
  </w:style>
  <w:style w:type="character" w:customStyle="1" w:styleId="cat-FIOgrp-10rplc-24">
    <w:name w:val="cat-FIO grp-10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Addressgrp-1rplc-28">
    <w:name w:val="cat-Address grp-1 rplc-28"/>
    <w:basedOn w:val="a0"/>
  </w:style>
  <w:style w:type="character" w:customStyle="1" w:styleId="cat-Sumgrp-16rplc-29">
    <w:name w:val="cat-Sum grp-16 rplc-29"/>
    <w:basedOn w:val="a0"/>
  </w:style>
  <w:style w:type="character" w:customStyle="1" w:styleId="cat-Sumgrp-17rplc-30">
    <w:name w:val="cat-Sum grp-17 rplc-30"/>
    <w:basedOn w:val="a0"/>
  </w:style>
  <w:style w:type="character" w:customStyle="1" w:styleId="cat-Sumgrp-18rplc-31">
    <w:name w:val="cat-Sum grp-18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20rplc-33">
    <w:name w:val="cat-Sum grp-20 rplc-33"/>
    <w:basedOn w:val="a0"/>
  </w:style>
  <w:style w:type="character" w:customStyle="1" w:styleId="cat-Addressgrp-1rplc-34">
    <w:name w:val="cat-Address grp-1 rplc-34"/>
    <w:basedOn w:val="a0"/>
  </w:style>
  <w:style w:type="character" w:customStyle="1" w:styleId="cat-Addressgrp-1rplc-38">
    <w:name w:val="cat-Address grp-1 rplc-38"/>
    <w:basedOn w:val="a0"/>
  </w:style>
  <w:style w:type="character" w:customStyle="1" w:styleId="cat-Sumgrp-20rplc-39">
    <w:name w:val="cat-Sum grp-20 rplc-39"/>
    <w:basedOn w:val="a0"/>
  </w:style>
  <w:style w:type="character" w:customStyle="1" w:styleId="cat-Sumgrp-21rplc-40">
    <w:name w:val="cat-Sum grp-21 rplc-40"/>
    <w:basedOn w:val="a0"/>
  </w:style>
  <w:style w:type="character" w:customStyle="1" w:styleId="cat-Addressgrp-2rplc-41">
    <w:name w:val="cat-Address grp-2 rplc-41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Addressgrp-0rplc-46">
    <w:name w:val="cat-Address grp-0 rplc-4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175CA26A0ED5BBB13C6DDB7EFF5EC655E9D352D142FDC53C07CA7B50E2DAB472F1C9E704D2B421D9AF5BDD02472F06468A1B8BAAEcFd6R" TargetMode="External"/><Relationship Id="rId13" Type="http://schemas.openxmlformats.org/officeDocument/2006/relationships/hyperlink" Target="consultantplus://offline/ref=F3F582D6C3F331EBFD1C45F01473760294A3CFB8F71A79D4FDD97E1D2DB94F93C1718494C375267147C11AE99E07O4N" TargetMode="External"/><Relationship Id="rId18" Type="http://schemas.openxmlformats.org/officeDocument/2006/relationships/hyperlink" Target="consultantplus://offline/ref=DB38C33C7AF37E37437AD53A7CA3399869A73F93EC9DB254DB1729BCD024ED2C8E903119D2F497A849BEF8B37CAC757D007E43E1B6u031K" TargetMode="External"/><Relationship Id="rId26" Type="http://schemas.openxmlformats.org/officeDocument/2006/relationships/hyperlink" Target="consultantplus://offline/ref=86FD0AC683A02DEBC845CF2F9B0539302EB6E832199B066908BB7A36618B24E751D4661651DC1B60B48B81F6A1B093C75F65C71BC8JD51G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2673A70C4C40C0D531E1F7D7C9E015C7055DFCC2DE6BE0E25D6A208DADB41236650BE683E06C045CD4572891AEAC254E2A50CC4ABCC1FBfCH" TargetMode="External"/><Relationship Id="rId7" Type="http://schemas.openxmlformats.org/officeDocument/2006/relationships/hyperlink" Target="consultantplus://offline/ref=0175CA26A0ED5BBB13C6DDB7EFF5EC655E9D352D142FDC53C07CA7B50E2DAB473D1CC67E482C5749CAAFEADD26c7d4R" TargetMode="External"/><Relationship Id="rId12" Type="http://schemas.openxmlformats.org/officeDocument/2006/relationships/hyperlink" Target="consultantplus://offline/ref=0175CA26A0ED5BBB13C6DDB7EFF5EC655E9A322D1020DC53C07CA7B50E2DAB472F1C9E724828484ACEBABC8C6023E3646DA1BABBB2F6151Fc6d6R" TargetMode="External"/><Relationship Id="rId17" Type="http://schemas.openxmlformats.org/officeDocument/2006/relationships/hyperlink" Target="consultantplus://offline/ref=87ECBB37A463C4938103BC19BEE425D3B18D047E7AF1B4EA1AAFEFED4BCB62BAAD72563FA0a6X6L" TargetMode="External"/><Relationship Id="rId25" Type="http://schemas.openxmlformats.org/officeDocument/2006/relationships/hyperlink" Target="consultantplus://offline/ref=86FD0AC683A02DEBC845CF2F9B0539302EB6E832199B066908BB7A36618B24E751D4661555DD1035E7C480AAE4E480C65665C513D4D2E6AAJ859G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6F58748300383CAF135DA52521515C6BE650EC56C7FFC3A210B8B97A78D91E6E01E4237C1A58C578065046C3CBQ6vER" TargetMode="External"/><Relationship Id="rId20" Type="http://schemas.openxmlformats.org/officeDocument/2006/relationships/hyperlink" Target="consultantplus://offline/ref=2673A70C4C40C0D531E1F7D7C9E015C7055DFCC2DE6BE0E25D6A208DADB41236650BE683E3680D03D14239C9A2AC3A502246D048BEFCf2H" TargetMode="External"/><Relationship Id="rId29" Type="http://schemas.openxmlformats.org/officeDocument/2006/relationships/hyperlink" Target="consultantplus://offline/ref=87ECBB37A463C4938103BC19BEE425D3B18D047E7AF1B4EA1AAFEFED4BCB62BAAD72563FA1a6X0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70A4AC6507DA87F9C28C28A35AED3DCA38242C5E553A927DF20244D9A78E8C181459462189258E6241904A6CAF132769FCA09BEE9D682FCT8h0M" TargetMode="External"/><Relationship Id="rId24" Type="http://schemas.openxmlformats.org/officeDocument/2006/relationships/hyperlink" Target="consultantplus://offline/ref=86FD0AC683A02DEBC845CF2F9B0539302EB6E8391E93066908BB7A36618B24E751D4661555DD1132E2C480AAE4E480C65665C513D4D2E6AAJ859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0175CA26A0ED5BBB13C6DDB7EFF5EC65589C342612238159C825ABB70922F450285592734828404AC0E5B999717BEE6077BFBBA4AEF417c1dFR" TargetMode="External"/><Relationship Id="rId23" Type="http://schemas.openxmlformats.org/officeDocument/2006/relationships/hyperlink" Target="consultantplus://offline/ref=86FD0AC683A02DEBC845CF2F9B0539302CBDE13E1C92066908BB7A36618B24E743D43E1954DC0E34EDD1D6FBA2JB50G" TargetMode="External"/><Relationship Id="rId28" Type="http://schemas.openxmlformats.org/officeDocument/2006/relationships/hyperlink" Target="consultantplus://offline/ref=87ECBB37A463C4938103BC19BEE425D3B18D047E7AF1B4EA1AAFEFED4BCB62BAAD72563FA6a6X4L" TargetMode="External"/><Relationship Id="rId10" Type="http://schemas.openxmlformats.org/officeDocument/2006/relationships/hyperlink" Target="consultantplus://offline/ref=070A4AC6507DA87F9C28C28A35AED3DCA38242C5E553A927DF20244D9A78E8C19345CC6E189746E1220C52F78CTAh6M" TargetMode="External"/><Relationship Id="rId19" Type="http://schemas.openxmlformats.org/officeDocument/2006/relationships/hyperlink" Target="consultantplus://offline/ref=630E1005FB9250541D40D133676AC19735B5D35400210F7A8DB7CDDA2425422E34C7AB995B0822F768G0K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482E36F1EF1DD466CE6EE23A98F43BC2A53D07A84AEBA6BE69752C90CB59267D58E9A2BE79B776605325600FDBE7D3D90D931D22En1i5M" TargetMode="External"/><Relationship Id="rId14" Type="http://schemas.openxmlformats.org/officeDocument/2006/relationships/hyperlink" Target="consultantplus://offline/ref=D2EECC00C66F2B6DB024C10780BB8FA1CE0DF56F7F06A51B28D318D599E521D9958F8B01C0D07DFEF27CEC0FB4BCTBN" TargetMode="External"/><Relationship Id="rId22" Type="http://schemas.openxmlformats.org/officeDocument/2006/relationships/hyperlink" Target="consultantplus://offline/ref=2673A70C4C40C0D531E1F7D7C9E015C7055DFCC2DE6BE0E25D6A208DADB41236650BE683E06C025CD4572891AEAC254E2A50CC4ABCC1FBfCH" TargetMode="External"/><Relationship Id="rId27" Type="http://schemas.openxmlformats.org/officeDocument/2006/relationships/hyperlink" Target="consultantplus://offline/ref=86FD0AC683A02DEBC845CF2F9B0539302CBDE13E1C92066908BB7A36618B24E743D43E1954DC0E34EDD1D6FBA2JB50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3682</Words>
  <Characters>20988</Characters>
  <Application>Microsoft Office Word</Application>
  <DocSecurity>0</DocSecurity>
  <Lines>174</Lines>
  <Paragraphs>49</Paragraphs>
  <ScaleCrop>false</ScaleCrop>
  <Company/>
  <LinksUpToDate>false</LinksUpToDate>
  <CharactersWithSpaces>24621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