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Гр. дело № 33-47867/2018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Судья: Романова С.В.   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FD3200" w:rsidRPr="00FD3200" w:rsidP="00FD3200">
      <w:pPr>
        <w:spacing w:after="0" w:line="240" w:lineRule="auto"/>
        <w:ind w:firstLine="539"/>
        <w:jc w:val="center"/>
        <w:rPr>
          <w:rFonts w:ascii="Times New Roman" w:hAnsi="Times New Roman"/>
          <w:bCs/>
          <w:sz w:val="24"/>
          <w:szCs w:val="24"/>
        </w:rPr>
      </w:pPr>
      <w:r w:rsidRPr="00FD3200">
        <w:rPr>
          <w:rFonts w:ascii="Times New Roman" w:hAnsi="Times New Roman"/>
          <w:bCs/>
          <w:sz w:val="24"/>
          <w:szCs w:val="24"/>
          <w:highlight w:val="none"/>
        </w:rPr>
        <w:t>АПЕЛЛЯЦИОННОЕ ОПРЕДЕЛЕНИЕ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26 октября 2018 года                                                                                             г. Москва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Судебная коллегия по гражданским делам Московского городского суда в составе председательствующего Семченко А.В.,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судей </w:t>
      </w:r>
      <w:r w:rsidRPr="00FD3200">
        <w:rPr>
          <w:rFonts w:ascii="Times New Roman" w:hAnsi="Times New Roman"/>
          <w:sz w:val="24"/>
          <w:szCs w:val="24"/>
          <w:highlight w:val="none"/>
        </w:rPr>
        <w:t>Мызниковой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Н.В., </w:t>
      </w:r>
      <w:r w:rsidRPr="00FD3200">
        <w:rPr>
          <w:rFonts w:ascii="Times New Roman" w:hAnsi="Times New Roman"/>
          <w:sz w:val="24"/>
          <w:szCs w:val="24"/>
          <w:highlight w:val="none"/>
        </w:rPr>
        <w:t>Пильгановой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В.М., 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при </w:t>
      </w:r>
      <w:r w:rsidRPr="00FD3200">
        <w:rPr>
          <w:rFonts w:ascii="Times New Roman" w:hAnsi="Times New Roman"/>
          <w:sz w:val="24"/>
          <w:szCs w:val="24"/>
          <w:highlight w:val="none"/>
        </w:rPr>
        <w:t>секретаре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>Сихарулидзе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А.Т.,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заслушав в открытом судебном заседании по докладу судьи </w:t>
      </w:r>
      <w:r w:rsidRPr="00FD3200">
        <w:rPr>
          <w:rFonts w:ascii="Times New Roman" w:hAnsi="Times New Roman"/>
          <w:sz w:val="24"/>
          <w:szCs w:val="24"/>
          <w:highlight w:val="none"/>
        </w:rPr>
        <w:t>Мызниковой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Н.В., гражданское дело по апелляционной жалобе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Тарасовой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Е</w:t>
      </w:r>
      <w:r>
        <w:rPr>
          <w:rFonts w:ascii="Times New Roman" w:hAnsi="Times New Roman"/>
          <w:spacing w:val="-1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Е</w:t>
      </w:r>
      <w:r>
        <w:rPr>
          <w:rFonts w:ascii="Times New Roman" w:hAnsi="Times New Roman"/>
          <w:spacing w:val="-1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>на решение Гагаринского районного суда г. Москвы от 22 марта 2018 года, которым постановлено: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«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В удовлетворении исковых требований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Тарасовой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Е</w:t>
      </w:r>
      <w:r>
        <w:rPr>
          <w:rFonts w:ascii="Times New Roman" w:hAnsi="Times New Roman"/>
          <w:spacing w:val="-1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Е</w:t>
      </w:r>
      <w:r>
        <w:rPr>
          <w:rFonts w:ascii="Times New Roman" w:hAnsi="Times New Roman"/>
          <w:spacing w:val="-1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к ПАО «Сбербанк России» о признании права на получение ежемесячного пособия по уходу за ребенком в двойном размере, признании действий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неправомерными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, взыскании недополученного ежемесячного пособия отказать</w:t>
      </w:r>
      <w:r w:rsidRPr="00FD3200">
        <w:rPr>
          <w:rFonts w:ascii="Times New Roman" w:hAnsi="Times New Roman"/>
          <w:sz w:val="24"/>
          <w:szCs w:val="24"/>
          <w:highlight w:val="none"/>
        </w:rPr>
        <w:t>»,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eastAsia="Batang" w:hAnsi="Times New Roman"/>
          <w:sz w:val="24"/>
          <w:szCs w:val="24"/>
          <w:lang w:eastAsia="ru-RU"/>
        </w:rPr>
      </w:pPr>
    </w:p>
    <w:p w:rsidR="00FD3200" w:rsidRPr="00FD3200" w:rsidP="00FD3200">
      <w:pPr>
        <w:spacing w:after="0" w:line="240" w:lineRule="auto"/>
        <w:ind w:firstLine="539"/>
        <w:jc w:val="center"/>
        <w:rPr>
          <w:rFonts w:ascii="Times New Roman" w:hAnsi="Times New Roman"/>
          <w:bCs/>
          <w:sz w:val="24"/>
          <w:szCs w:val="24"/>
        </w:rPr>
      </w:pPr>
      <w:r w:rsidRPr="00FD3200">
        <w:rPr>
          <w:rFonts w:ascii="Times New Roman" w:hAnsi="Times New Roman"/>
          <w:bCs/>
          <w:sz w:val="24"/>
          <w:szCs w:val="24"/>
          <w:highlight w:val="none"/>
        </w:rPr>
        <w:t>УСТАНОВИЛА: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Тарасова Е.Е. обратилась в суд с иском, уточненным в порядке ст. 39 ГПК РФ, к ПАО «Сбербанк России» о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призна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нии за ней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прав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а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на получение ежемесячного пособия по уходу за ребенком </w:t>
      </w:r>
      <w:r w:rsidR="006E243A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, </w:t>
      </w:r>
      <w:r w:rsidR="006E243A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г.р.,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в двойном размере с 21.06.2016 г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до достижения ребенком возраста трех лет, призна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нии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действи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й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ответчика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по начислению и выплате с 21.06.2016 г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ежемесячного пособия по уходу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за ребенком в однократном размере незаконными, взыска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нии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с ответчика недоплаченно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го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ежемесячно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го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пособи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>я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по уходу за ребенком за период с 21.06.2016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г.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по 30.11.2017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г.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 в размере 230 562,80 руб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</w:rPr>
        <w:t xml:space="preserve">., - ссылаясь в обоснование заявленных требований на то, что </w:t>
      </w:r>
      <w:r w:rsidRPr="00FD3200">
        <w:rPr>
          <w:rFonts w:ascii="Times New Roman" w:hAnsi="Times New Roman"/>
          <w:sz w:val="24"/>
          <w:szCs w:val="24"/>
          <w:highlight w:val="none"/>
        </w:rPr>
        <w:t>с 23.01.2013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работает в ПАО «Сбербанк России» в должности ведущего </w:t>
      </w:r>
      <w:r w:rsidRPr="00FD3200">
        <w:rPr>
          <w:rFonts w:ascii="Times New Roman" w:hAnsi="Times New Roman"/>
          <w:sz w:val="24"/>
          <w:szCs w:val="24"/>
          <w:highlight w:val="none"/>
        </w:rPr>
        <w:t>специалиста сектора использования документов архива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№ </w:t>
      </w:r>
      <w:r w:rsidRPr="00FD3200">
        <w:rPr>
          <w:rFonts w:ascii="Times New Roman" w:hAnsi="Times New Roman"/>
          <w:sz w:val="24"/>
          <w:szCs w:val="24"/>
          <w:highlight w:val="none"/>
        </w:rPr>
        <w:t>3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(г. </w:t>
      </w:r>
      <w:r w:rsidR="006E243A"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>) Сервисного центра «</w:t>
      </w:r>
      <w:r w:rsidRPr="00FD3200">
        <w:rPr>
          <w:rFonts w:ascii="Times New Roman" w:hAnsi="Times New Roman"/>
          <w:sz w:val="24"/>
          <w:szCs w:val="24"/>
          <w:highlight w:val="none"/>
        </w:rPr>
        <w:t>Архив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» объединенного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сервисного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центра Москва Дирекции </w:t>
      </w:r>
      <w:r w:rsidRPr="00FD3200">
        <w:rPr>
          <w:rFonts w:ascii="Times New Roman" w:hAnsi="Times New Roman"/>
          <w:sz w:val="24"/>
          <w:szCs w:val="24"/>
          <w:highlight w:val="none"/>
        </w:rPr>
        <w:t>сервисных центров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ПАО Сбербанк</w:t>
      </w:r>
      <w:r w:rsidRPr="00FD3200">
        <w:rPr>
          <w:rFonts w:ascii="Times New Roman" w:hAnsi="Times New Roman"/>
          <w:sz w:val="24"/>
          <w:szCs w:val="24"/>
          <w:highlight w:val="none"/>
        </w:rPr>
        <w:t>;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с </w:t>
      </w:r>
      <w:r w:rsidRPr="00FD3200">
        <w:rPr>
          <w:rFonts w:ascii="Times New Roman" w:hAnsi="Times New Roman"/>
          <w:sz w:val="24"/>
          <w:szCs w:val="24"/>
          <w:highlight w:val="none"/>
        </w:rPr>
        <w:t>14.03.2016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находилась в отпуске по беременности и родам</w:t>
      </w:r>
      <w:r w:rsidRPr="00FD3200">
        <w:rPr>
          <w:rFonts w:ascii="Times New Roman" w:hAnsi="Times New Roman"/>
          <w:sz w:val="24"/>
          <w:szCs w:val="24"/>
          <w:highlight w:val="none"/>
        </w:rPr>
        <w:t>;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="006E243A"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у истца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родилась дочь -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>;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>п</w:t>
      </w:r>
      <w:r w:rsidRPr="00FD3200">
        <w:rPr>
          <w:rFonts w:ascii="Times New Roman" w:hAnsi="Times New Roman"/>
          <w:sz w:val="24"/>
          <w:szCs w:val="24"/>
          <w:highlight w:val="none"/>
        </w:rPr>
        <w:t>оскольку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с 15.06.1995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истец постоянно проживает в зоне с льготным социально- экономическим статусом, то в соответствии с п.7 ч.1 ст. 18 Федерального закона «О социальной защите граждан, подвергшихся воздействию радиации вследствие катастрофы на Чернобыльской АЭС» (в редакции, действовавшей до 01.07.2016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>) истцу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>гарантировано право на получение ежемесячного пособия по уходу за ребенком 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>двойном размере до достижения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возраста трех лет</w:t>
      </w:r>
      <w:r w:rsidRPr="00FD3200">
        <w:rPr>
          <w:rFonts w:ascii="Times New Roman" w:hAnsi="Times New Roman"/>
          <w:sz w:val="24"/>
          <w:szCs w:val="24"/>
          <w:highlight w:val="none"/>
        </w:rPr>
        <w:t>;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20.06.2016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истец обратилась в ПАО «Сбербанк России» с заявлениями, в которых просила прервать отпуск по беременности и родам, предостави</w:t>
      </w:r>
      <w:r w:rsidRPr="00FD3200">
        <w:rPr>
          <w:rFonts w:ascii="Times New Roman" w:hAnsi="Times New Roman"/>
          <w:sz w:val="24"/>
          <w:szCs w:val="24"/>
          <w:highlight w:val="none"/>
        </w:rPr>
        <w:t>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с 21.06.2016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отпуск по уходу за ребенком до достижения им трехлетнего возраста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с выплатой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ежемесячно</w:t>
      </w:r>
      <w:r w:rsidRPr="00FD3200">
        <w:rPr>
          <w:rFonts w:ascii="Times New Roman" w:hAnsi="Times New Roman"/>
          <w:sz w:val="24"/>
          <w:szCs w:val="24"/>
          <w:highlight w:val="none"/>
        </w:rPr>
        <w:t>го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пособи</w:t>
      </w:r>
      <w:r w:rsidRPr="00FD3200">
        <w:rPr>
          <w:rFonts w:ascii="Times New Roman" w:hAnsi="Times New Roman"/>
          <w:sz w:val="24"/>
          <w:szCs w:val="24"/>
          <w:highlight w:val="none"/>
        </w:rPr>
        <w:t>я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по уходу за ребенком до достижения им трехлетнего возраста в двойном размере, в связи с проживанием в зоне с льготным социально-экономическим статусом</w:t>
      </w:r>
      <w:r w:rsidRPr="00FD3200">
        <w:rPr>
          <w:rFonts w:ascii="Times New Roman" w:hAnsi="Times New Roman"/>
          <w:sz w:val="24"/>
          <w:szCs w:val="24"/>
          <w:highlight w:val="none"/>
        </w:rPr>
        <w:t>;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приказом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ПАО «Сбербанк России» № </w:t>
      </w:r>
      <w:r w:rsidR="006E243A"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от 20.06.2016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истцу был предоставлен отпуск по уходу за ребенком на период с 21.06.2016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по 30.05.2019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>, ранее выплаченное пособие по беременности и родам в сумме 44 849 руб. 49 коп. истцом было возвращено на счет работодателя</w:t>
      </w:r>
      <w:r w:rsidRPr="00FD3200">
        <w:rPr>
          <w:rFonts w:ascii="Times New Roman" w:hAnsi="Times New Roman"/>
          <w:sz w:val="24"/>
          <w:szCs w:val="24"/>
          <w:highlight w:val="none"/>
        </w:rPr>
        <w:t>; 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сентябре 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работодатель в ходе телефонного разговора уведомил истца о том, что Государственным учреждением Московским региональным отделением Фонда социального страхования (Филиала № 6) было отказало в возмещении расходов на выплату ежемесячного пособия по уходу за ребенком в двойном размере, соответственно начисление и выплата социального пособия будет производиться с 21.06.2016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до достижения ребенком возраста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1,5 лет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в однократном размере</w:t>
      </w:r>
      <w:r w:rsidRPr="00FD3200">
        <w:rPr>
          <w:rFonts w:ascii="Times New Roman" w:hAnsi="Times New Roman"/>
          <w:sz w:val="24"/>
          <w:szCs w:val="24"/>
          <w:highlight w:val="none"/>
        </w:rPr>
        <w:t>;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</w:rPr>
        <w:t>письмом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№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от 27.02.2017 г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работодатель повторно уведомил истца об отказе в начислении и выплате социального пособия в двойном размере</w:t>
      </w:r>
      <w:r w:rsidRPr="00FD3200">
        <w:rPr>
          <w:rFonts w:ascii="Times New Roman" w:hAnsi="Times New Roman"/>
          <w:sz w:val="24"/>
          <w:szCs w:val="24"/>
          <w:highlight w:val="none"/>
        </w:rPr>
        <w:t>, что истец полагает незаконным.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Истец в судебное заседание суда первой инстанции не явилась, </w:t>
      </w:r>
      <w:r w:rsidRPr="00FD3200">
        <w:rPr>
          <w:rFonts w:ascii="Times New Roman" w:hAnsi="Times New Roman"/>
          <w:sz w:val="24"/>
          <w:szCs w:val="24"/>
          <w:highlight w:val="none"/>
        </w:rPr>
        <w:t>извещена</w:t>
      </w:r>
      <w:r w:rsidRPr="00FD3200">
        <w:rPr>
          <w:rFonts w:ascii="Times New Roman" w:hAnsi="Times New Roman"/>
          <w:sz w:val="24"/>
          <w:szCs w:val="24"/>
          <w:highlight w:val="none"/>
        </w:rPr>
        <w:t>, ходатайствовала о рассмотрении дела в свое отсутствие; представитель ответчика в судебном заседании исковые требования не признал; третье лицо – ГУ МРО ФСС РФ в судебное заседание явку представителя не обеспечило, извещено.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Судом постановлено указанное выше решение, об отмене которого просит истец Тарасова Е.Е. по доводам апелляционной жалобы.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В суд апелляционной инстанции истец </w:t>
      </w:r>
      <w:r w:rsidRPr="00FD3200">
        <w:rPr>
          <w:rFonts w:ascii="Times New Roman" w:hAnsi="Times New Roman"/>
          <w:sz w:val="24"/>
          <w:szCs w:val="24"/>
          <w:highlight w:val="none"/>
        </w:rPr>
        <w:t>Тарасова Е.Е.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представитель третьего лица ГУ МРО ФСС РФ, извещенные о дате, месте и времени судебного заседания (л.д.135, 137, 138, 139-140, 143), не явились, об уважительных причинах неявки суду не сообщили. На основании </w:t>
      </w:r>
      <w:r>
        <w:fldChar w:fldCharType="begin"/>
      </w:r>
      <w:r>
        <w:rPr>
          <w:highlight w:val="none"/>
        </w:rPr>
        <w:instrText xml:space="preserve"> HYPERLINK "consultantplus://offline/ref=4905CEB2C60700AD76E59D7B56220D8873701E9C2F328F937C9B953666DA8EC7BCFD96B9F8CCC6C2mCZ3O"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ст. 167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ГПК РФ судебная коллегия сочла возможным рассмотреть дело в отсутствие истца и третьего лица.</w:t>
      </w:r>
    </w:p>
    <w:p w:rsidR="00FD3200" w:rsidRPr="00FD3200" w:rsidP="00FD3200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pacing w:val="-4"/>
          <w:sz w:val="24"/>
          <w:szCs w:val="24"/>
          <w:highlight w:val="none"/>
        </w:rPr>
        <w:t xml:space="preserve">Изучив материалы дела, выслушав возражения представителя ответчика по доверенности – </w:t>
      </w:r>
      <w:r w:rsidRPr="00FD3200">
        <w:rPr>
          <w:rFonts w:ascii="Times New Roman" w:hAnsi="Times New Roman"/>
          <w:spacing w:val="-4"/>
          <w:sz w:val="24"/>
          <w:szCs w:val="24"/>
          <w:highlight w:val="none"/>
        </w:rPr>
        <w:t>Мрих</w:t>
      </w:r>
      <w:r w:rsidRPr="00FD3200">
        <w:rPr>
          <w:rFonts w:ascii="Times New Roman" w:hAnsi="Times New Roman"/>
          <w:spacing w:val="-4"/>
          <w:sz w:val="24"/>
          <w:szCs w:val="24"/>
          <w:highlight w:val="none"/>
        </w:rPr>
        <w:t xml:space="preserve"> А.С., обсудив доводы апелляционной жалобы, судебная коллегия приходит к </w:t>
      </w:r>
      <w:r w:rsidRPr="00FD3200">
        <w:rPr>
          <w:rFonts w:ascii="Times New Roman" w:hAnsi="Times New Roman"/>
          <w:sz w:val="24"/>
          <w:szCs w:val="24"/>
          <w:highlight w:val="none"/>
        </w:rPr>
        <w:t>выводу об отсутствии оснований для отмены решения суда.</w:t>
      </w:r>
    </w:p>
    <w:p w:rsidR="00FD3200" w:rsidRPr="00FD3200" w:rsidP="00FD3200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Согласно ст. 327.1 ГПК Российской Федерации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:rsidR="00FD3200" w:rsidRPr="00FD3200" w:rsidP="00FD3200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"consultantplus://offline/ref=875435E982D381EFEB87BD8EF952BAF49B52CF4B329DDC3E138CA6EBfDz2M"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Постановлением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Пленума Верховного Суда РФ № 23 «О судебном решении» от 19.12.2003 г.,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правоотношению.</w:t>
      </w:r>
    </w:p>
    <w:p w:rsidR="00FD3200" w:rsidRPr="00FD3200" w:rsidP="00FD3200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r>
        <w:fldChar w:fldCharType="begin"/>
      </w:r>
      <w:r>
        <w:rPr>
          <w:highlight w:val="none"/>
        </w:rPr>
        <w:instrText xml:space="preserve"> HYPERLINK "consultantplus://offline/ref=875435E982D381EFEB87BD8EF952BAF49E55CE48379E81341BD5AAE9D5FC3EE7D369EF16A3F4CAF8f4z0M"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статьи 55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"consultantplus://offline/ref=875435E982D381EFEB87BD8EF952BAF49E55CE48379E81341BD5AAE9D5FC3EE7D369EF16A3F4CAFAf4z4M"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59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- </w:t>
      </w:r>
      <w:r>
        <w:fldChar w:fldCharType="begin"/>
      </w:r>
      <w:r>
        <w:rPr>
          <w:highlight w:val="none"/>
        </w:rPr>
        <w:instrText xml:space="preserve"> HYPERLINK "consultantplus://offline/ref=875435E982D381EFEB87BD8EF952BAF49E55CE48379E81341BD5AAE9D5FC3EE7D369EF16A3F4CAFAf4z0M"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61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"consultantplus://offline/ref=875435E982D381EFEB87BD8EF952BAF49E55CE48379E81341BD5AAE9D5FC3EE7D369EF16A3F4CAF4f4z1M"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67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:rsidR="00FD3200" w:rsidRPr="00FD3200" w:rsidP="00FD3200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"consultantplus://offline/ref=875435E982D381EFEB87BD8EF952BAF49E55CE48379E81341BD5AAE9D5FC3EE7D369EF15A6fFz0M"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статьей 330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ГПК Российской Федерации, основаниями для отмены или изменения решения суда в апелляционном порядке являются: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права.</w:t>
      </w:r>
    </w:p>
    <w:p w:rsidR="00FD3200" w:rsidRPr="00FD3200" w:rsidP="00FD3200">
      <w:pPr>
        <w:tabs>
          <w:tab w:val="left" w:pos="9360"/>
        </w:tabs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Таких нарушений судом первой инстанции при рассмотрении данного дела допущено не было.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Правоотношения в системе обязательного социального страхования на случай временной нетрудоспособности и в связи с материнством, права и обязанности субъектов, условия, размеры и порядок обеспечения пособиями по беременности и родам, граждан, подлежащих обязательному социальному страхованию на случай временной нетрудоспособности и в связи с материнством, регулируются Федеральным </w:t>
      </w:r>
      <w:r>
        <w:fldChar w:fldCharType="begin"/>
      </w:r>
      <w:r>
        <w:rPr>
          <w:highlight w:val="none"/>
        </w:rPr>
        <w:instrText xml:space="preserve"> HYPERLINK "consultantplus://offline/ref=68B690F67BC021282D5A655BCCD4EC2CE8631AE4094CCE62823420C83Dj7OAQ"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законом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Российской Федерации от 29.12.2006 № 255-ФЗ «Об обязательном социальном страховании на случай временной нетрудоспособности и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в связи с материнством».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"consultantplus://offline/ref=68B690F67BC021282D5A655BCCD4EC2CE8631AE4094CCE62823420C83D7A82FEABB9702140j8OFQ"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ч. 7 ст. 14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Закона установлено, что особенности порядка исчисления пособий по беременности и родам, в том числе для отдельных категорий застрахованных лиц, определяются Правительством Российской Федерации. 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Во исполнение этой нормы Правительством Российской Федерации утверждено </w:t>
      </w:r>
      <w:r>
        <w:fldChar w:fldCharType="begin"/>
      </w:r>
      <w:r>
        <w:rPr>
          <w:highlight w:val="none"/>
        </w:rPr>
        <w:instrText xml:space="preserve"> HYPERLINK "consultantplus://offline/ref=68B690F67BC021282D5A655BCCD4EC2CE86313E30F44CE62823420C83D7A82FEABB970j2O7Q"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Положение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от 15 июня 2007 года № 375 «Об особенностях порядка исчисления пособий по временной нетрудоспособности, по беременности и родам гражданам, подлежащим обязательному социальному страхованию» (далее Положение № 375), определив в нем особенности порядка исчисления пособий по временной нетрудоспособности, по беременности и родам гражданам, подлежащим обязательному социальному страхованию на случай временной нетрудоспособности и в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связи с материнством.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eastAsia="Calibri" w:hAnsi="Times New Roman"/>
          <w:sz w:val="24"/>
          <w:szCs w:val="24"/>
          <w:highlight w:val="none"/>
        </w:rPr>
        <w:t xml:space="preserve">Как установлено судом и следует из материалов дела,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Тарасова Е.Е. состоит в трудовых отношениях с ПАО «Сбербанк России» на основании трудового договора от 18.01.2013 г., с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23.01.2013 г. занимает должность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ведущего специалиста сектора использования документов архива № </w:t>
      </w:r>
      <w:r w:rsidRPr="00FD3200">
        <w:rPr>
          <w:rFonts w:ascii="Times New Roman" w:hAnsi="Times New Roman"/>
          <w:sz w:val="24"/>
          <w:szCs w:val="24"/>
          <w:highlight w:val="none"/>
        </w:rPr>
        <w:t>3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(г.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>) Сервисного центра «</w:t>
      </w:r>
      <w:r w:rsidRPr="00FD3200">
        <w:rPr>
          <w:rFonts w:ascii="Times New Roman" w:hAnsi="Times New Roman"/>
          <w:sz w:val="24"/>
          <w:szCs w:val="24"/>
          <w:highlight w:val="none"/>
        </w:rPr>
        <w:t>Архив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» объединенного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сервисного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центра Москва Дирекции </w:t>
      </w:r>
      <w:r w:rsidRPr="00FD3200">
        <w:rPr>
          <w:rFonts w:ascii="Times New Roman" w:hAnsi="Times New Roman"/>
          <w:sz w:val="24"/>
          <w:szCs w:val="24"/>
          <w:highlight w:val="none"/>
        </w:rPr>
        <w:t>сервисных центров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ПАО Сбербанк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 В период с 14.03.2016 г. по 31.07.2016 г. истец находилась в отпуске по беременности и родам, в </w:t>
      </w:r>
      <w:r w:rsidRPr="00FD3200">
        <w:rPr>
          <w:rFonts w:ascii="Times New Roman" w:hAnsi="Times New Roman"/>
          <w:sz w:val="24"/>
          <w:szCs w:val="24"/>
          <w:highlight w:val="none"/>
        </w:rPr>
        <w:t>связи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с чем ей был выдан листок нетрудоспособности №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>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г. у истца родилась дочь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, что подтверждается свидетельством о рождении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№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, выданным отделом ЗАГС по Центральному району г.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02.06.2016 г.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20.06.2016 г. Тарасова Е.А. обратилась к работодателю с заявлением, в котором просила прервать отпуск по беременности и родам с 20.06.2016 г., а также с заявлением о выплате ежемесячного пособия по уходу за ребенком до достижения им возраста 1,5 лет в двойном размере в связи с проживанием в зоне с льготным социально-экономическим статусом, то есть истец обратилась к ответчику 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послеродовой период, </w:t>
      </w:r>
      <w:r w:rsidRPr="00FD3200">
        <w:rPr>
          <w:rFonts w:ascii="Times New Roman" w:hAnsi="Times New Roman"/>
          <w:sz w:val="24"/>
          <w:szCs w:val="24"/>
          <w:highlight w:val="none"/>
        </w:rPr>
        <w:t>использовав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часть отпуска после родов.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20.06.2016 г. директором центра объединенного сервисного центра «Москва» издан приказ № </w:t>
      </w:r>
      <w:r>
        <w:rPr>
          <w:rFonts w:ascii="Times New Roman" w:hAnsi="Times New Roman"/>
          <w:sz w:val="24"/>
          <w:szCs w:val="24"/>
          <w:highlight w:val="none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от 20.06.2016 г. о предоставлении Тарасовой Е.Е. отпуска по уходу за ребенком до трех лет.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Разрешая спор и отказывая в удовлетворении исковых требований Тарасовой Е.Е., суд, руководствуясь вышеуказанными нормами права, положениями ст. 255, 256 Трудового кодекса РФ, Федерального </w:t>
      </w:r>
      <w:r>
        <w:fldChar w:fldCharType="begin"/>
      </w:r>
      <w:r>
        <w:rPr>
          <w:highlight w:val="none"/>
        </w:rPr>
        <w:instrText xml:space="preserve"> HYPERLINK "consultantplus://offline/ref=057E9B8E9954A77689D13CE204E32384EE8CF643A5C8EFCAE727C833044345E"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закона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от 29.12.2006 г. № 255-ФЗ «Об обязательном социальном страховании на случай временной нетрудоспособности и в связи с материнством», </w:t>
      </w:r>
      <w:r>
        <w:fldChar w:fldCharType="begin"/>
      </w:r>
      <w:r>
        <w:rPr>
          <w:highlight w:val="none"/>
        </w:rPr>
        <w:instrText xml:space="preserve"> HYPERLINK "consultantplus://offline/ref=68B690F67BC021282D5A655BCCD4EC2CE86312EC0048CE62823420C83Dj7OAQ"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Закона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Российской Федерации от 15.05.1991 г. № 1244-1 «О социальной защите граждан, подвергшихся воздействию радиации вследствие катастрофы на Чернобыльской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АЭС» в редакции Федерального закона от 29.12.2015 г. № 388-ФЗ, 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Постановления Правительства РФ от 16.07.2005 № 439 «О правилах предоставления ежемесячного пособия по уходу за ребенком в двойном размере до достижения ребенком возраста трех лет гражданам, подвергшимся воздействию радиации вследствие катастрофы на Чернобыльской АЭС», 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исходил из того, что учитывая дату рождения ребенка у истца (</w:t>
      </w:r>
      <w:r w:rsidR="006E243A">
        <w:rPr>
          <w:rFonts w:ascii="Times New Roman" w:hAnsi="Times New Roman"/>
          <w:sz w:val="24"/>
          <w:szCs w:val="24"/>
          <w:highlight w:val="none"/>
          <w:lang w:eastAsia="ru-RU"/>
        </w:rPr>
        <w:t>***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г.), период нетрудоспособности в связи с беременностью и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родам с 14.03.2016 года по 31.07.2016 г., оснований для </w:t>
      </w:r>
      <w:r w:rsidRPr="00FD3200">
        <w:rPr>
          <w:rFonts w:ascii="Times New Roman" w:hAnsi="Times New Roman"/>
          <w:spacing w:val="-1"/>
          <w:sz w:val="24"/>
          <w:szCs w:val="24"/>
          <w:highlight w:val="none"/>
          <w:lang w:eastAsia="ru-RU"/>
        </w:rPr>
        <w:t xml:space="preserve">предоставления отпуска по уходу за ребенком истцу с 21.06.2016 г., с прерыванием 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частично использованного после родов отпуска по беременности и родам до его окончания, не имелось, поскольку это противоречило бы п. 46 Порядка и условий назначения и выплаты государственных пособий гражданам, имеющим детей, утверждённых Приказом Минздрава РФ от 23.12.2009 № 1012н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. Отпуск по уходу за ребенком может быть оформлен с даты, следующей после окончания временной нетрудоспособности, связанной с беременностью и родами, период которой не может быть прерван по собственному желанию работника.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Отказывая в удовлетворении исковых требований, суд первой инстанции также правильно исходил из того, что с 01.07.2016 г. мера социальной поддержки, предусмотренная п. 7 ч. 1 ст. 18 Закона Российской Федерации от 15 мая 1991 года № 1233-1 «О социальной защите граждан, подвергшихся воздействию радиации вследствие катастрофы на Чернобыльской АЭС» в виде выплаты ежемесячного пособия по уходу за ребенком до трех лет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в двойном размере отменена, установлена гарантированная ежемесячная выплата в твердом размере в соответствии с ч. 1 ст. 11.2 Закона№ 255-ФЗ от 29.12.2006 «Об обязательном социальном страховании на случай временной нетрудоспособности и в связи с материнством», ст. 15 Закона № 81-ФЗ от 19.05.1995 г. «О государственных пособиях гражданам, имеющим детей».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Поскольку право на отпуск по уходу за ребенком у истца возникло после 01.07.2016 г., то суд первой инстанции пришел к правильному выводу об отсутствии оснований для признания за истцом права на ежемесячное </w:t>
      </w:r>
      <w:r w:rsidRPr="00FD3200">
        <w:rPr>
          <w:rFonts w:ascii="Times New Roman" w:hAnsi="Times New Roman"/>
          <w:spacing w:val="-2"/>
          <w:sz w:val="24"/>
          <w:szCs w:val="24"/>
          <w:highlight w:val="none"/>
          <w:lang w:eastAsia="ru-RU"/>
        </w:rPr>
        <w:t>пособие по уходу за ребенком в двойном размере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Судебная коллегия в полной мере соглашается с приведенными в решении суда выводами, поскольку они основаны на правильном применении норм действующего законодательства и надлежащей оценке представленных по делу доказательств.</w:t>
      </w:r>
    </w:p>
    <w:p w:rsidR="00FD3200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Доводы апелляционной жалобы сводятся к иному толкованию законодательства, аналогичны обстоятельствам, на которые ссылался истец в суде первой инстанции в обоснование своих требований, они были предметом обсуждения суда первой инстанции и им дана правильная правовая оценка на основании исследования в судебном заседании всех представленных обеими сторонами доказательств в их совокупности в соответствии со </w:t>
      </w:r>
      <w:r>
        <w:fldChar w:fldCharType="begin"/>
      </w:r>
      <w:r>
        <w:rPr>
          <w:highlight w:val="none"/>
        </w:rPr>
        <w:instrText xml:space="preserve"> HYPERLINK "consultantplus://offline/ref=A7B323494189CDF685ADCA39DB4EBA90BF8392C0E6B448A5FF31A37D1917C67FB35E850959A0C5E2X9JAI" </w:instrText>
      </w:r>
      <w:r>
        <w:fldChar w:fldCharType="separate"/>
      </w:r>
      <w:r w:rsidRPr="00FD3200">
        <w:rPr>
          <w:rFonts w:ascii="Times New Roman" w:hAnsi="Times New Roman"/>
          <w:sz w:val="24"/>
          <w:szCs w:val="24"/>
          <w:highlight w:val="none"/>
        </w:rPr>
        <w:t>ст. 67</w:t>
      </w:r>
      <w:r>
        <w:fldChar w:fldCharType="end"/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 ГПК Российской Федерации.</w:t>
      </w:r>
    </w:p>
    <w:p w:rsidR="00FD3200" w:rsidRPr="00FD3200" w:rsidP="00FD3200">
      <w:pPr>
        <w:widowControl w:val="0"/>
        <w:tabs>
          <w:tab w:val="left" w:pos="9498"/>
        </w:tabs>
        <w:autoSpaceDE w:val="0"/>
        <w:autoSpaceDN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>С учетом вышеизложенного, судебная коллегия считает, что, разрешая спор, суд, руководствуясь нормами действующего законодательства, правильно определил юридически значимые обстоятельства; данные обстоятельства подтверждены материалами дела и исследованными доказательствами, которым дана надлежащая оценка в соответствии с требованиями ст. 67 ГПК РФ, выводы суда соответствуют установленным обстоятельствам; нарушений норм материального и процессуального права судом при разрешении спора не допущено.</w:t>
      </w:r>
      <w:r w:rsidRPr="00FD3200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Доводы апелляционной жалобы не могут повлечь отмену судебного постановления, поскольку не содержат правовых оснований, установленных ст. 330 ГПК РФ.</w:t>
      </w:r>
    </w:p>
    <w:p w:rsid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 xml:space="preserve">На основании </w:t>
      </w:r>
      <w:r w:rsidRPr="00FD3200">
        <w:rPr>
          <w:rFonts w:ascii="Times New Roman" w:hAnsi="Times New Roman"/>
          <w:sz w:val="24"/>
          <w:szCs w:val="24"/>
          <w:highlight w:val="none"/>
        </w:rPr>
        <w:t>изложенного</w:t>
      </w:r>
      <w:r w:rsidRPr="00FD3200">
        <w:rPr>
          <w:rFonts w:ascii="Times New Roman" w:hAnsi="Times New Roman"/>
          <w:sz w:val="24"/>
          <w:szCs w:val="24"/>
          <w:highlight w:val="none"/>
        </w:rPr>
        <w:t xml:space="preserve">, руководствуясь ст. ст. 328, 329 ГПК РФ, судебная коллегия </w:t>
      </w:r>
    </w:p>
    <w:p w:rsidR="006E243A" w:rsidRPr="00FD3200" w:rsidP="00FD320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center"/>
        <w:rPr>
          <w:rFonts w:ascii="Times New Roman" w:hAnsi="Times New Roman"/>
          <w:bCs/>
          <w:sz w:val="24"/>
          <w:szCs w:val="24"/>
        </w:rPr>
      </w:pPr>
      <w:r w:rsidRPr="00FD3200">
        <w:rPr>
          <w:rFonts w:ascii="Times New Roman" w:hAnsi="Times New Roman"/>
          <w:bCs/>
          <w:sz w:val="24"/>
          <w:szCs w:val="24"/>
          <w:highlight w:val="none"/>
        </w:rPr>
        <w:t>ОПРЕДЕЛИЛА: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bCs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Решение Гагаринского районного суда г. Москвы от 22 марта 2018 года оставить без изменения, апелляционную жалобу Тарасовой Е.Е. – без удовлетворения.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Председательствующий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FD3200">
        <w:rPr>
          <w:rFonts w:ascii="Times New Roman" w:hAnsi="Times New Roman"/>
          <w:sz w:val="24"/>
          <w:szCs w:val="24"/>
          <w:highlight w:val="none"/>
        </w:rPr>
        <w:t>Судьи:</w:t>
      </w: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FD3200" w:rsidRPr="00FD3200" w:rsidP="00FD320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</w:p>
    <w:p w:rsidR="0087783B" w:rsidRPr="00FD3200" w:rsidP="00FD3200">
      <w:pPr>
        <w:rPr>
          <w:rFonts w:ascii="Times New Roman" w:hAnsi="Times New Roman"/>
          <w:sz w:val="24"/>
          <w:szCs w:val="24"/>
        </w:rPr>
      </w:pPr>
    </w:p>
    <w:sectPr w:rsidSect="0087783B">
      <w:footerReference w:type="even" r:id="rId4"/>
      <w:footerReference w:type="default" r:id="rId5"/>
      <w:pgSz w:w="11906" w:h="16838"/>
      <w:pgMar w:top="993" w:right="92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0911" w:rsidP="00BA63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C0911" w:rsidP="00BA63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0911" w:rsidP="00BA63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 w:rsidR="006E243A">
      <w:rPr>
        <w:rStyle w:val="PageNumber"/>
        <w:noProof/>
        <w:highlight w:val="none"/>
      </w:rPr>
      <w:t>4</w:t>
    </w:r>
    <w:r>
      <w:rPr>
        <w:rStyle w:val="PageNumber"/>
      </w:rPr>
      <w:fldChar w:fldCharType="end"/>
    </w:r>
  </w:p>
  <w:p w:rsidR="00EC0911" w:rsidP="00BA63A8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63A8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7173A"/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rsid w:val="00BA63A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styleId="Footer">
    <w:name w:val="footer"/>
    <w:basedOn w:val="Normal"/>
    <w:link w:val="a"/>
    <w:rsid w:val="00BA63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">
    <w:name w:val="Нижний колонтитул Знак"/>
    <w:basedOn w:val="DefaultParagraphFont"/>
    <w:link w:val="Footer"/>
    <w:locked/>
    <w:rsid w:val="00BA63A8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BA63A8"/>
    <w:rPr>
      <w:rFonts w:cs="Times New Roman"/>
    </w:rPr>
  </w:style>
  <w:style w:type="character" w:styleId="Hyperlink">
    <w:name w:val="Hyperlink"/>
    <w:basedOn w:val="DefaultParagraphFont"/>
    <w:rsid w:val="00F218A4"/>
    <w:rPr>
      <w:color w:val="0000FF"/>
      <w:u w:val="single"/>
    </w:rPr>
  </w:style>
  <w:style w:type="character" w:customStyle="1" w:styleId="a0">
    <w:name w:val="Основной текст с отступом Знак"/>
    <w:link w:val="BodyTextIndent"/>
    <w:locked/>
    <w:rsid w:val="002E7DB8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link w:val="a0"/>
    <w:rsid w:val="002E7DB8"/>
    <w:pPr>
      <w:spacing w:after="0" w:line="240" w:lineRule="auto"/>
      <w:ind w:firstLine="708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ConsPlusNonformat">
    <w:name w:val="ConsPlusNonformat"/>
    <w:rsid w:val="002E7DB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BodyText">
    <w:name w:val="Body Text"/>
    <w:basedOn w:val="Normal"/>
    <w:rsid w:val="00FD5201"/>
    <w:pPr>
      <w:spacing w:after="120"/>
    </w:pPr>
  </w:style>
  <w:style w:type="paragraph" w:styleId="BodyText2">
    <w:name w:val="Body Text 2"/>
    <w:basedOn w:val="Normal"/>
    <w:rsid w:val="00FD5201"/>
    <w:pPr>
      <w:spacing w:after="120" w:line="480" w:lineRule="auto"/>
    </w:pPr>
  </w:style>
  <w:style w:type="paragraph" w:customStyle="1" w:styleId="ConsPlusNormal">
    <w:name w:val="ConsPlusNormal"/>
    <w:rsid w:val="00FD5201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styleId="Title">
    <w:name w:val="Title"/>
    <w:basedOn w:val="Normal"/>
    <w:link w:val="a1"/>
    <w:qFormat/>
    <w:rsid w:val="00FD5201"/>
    <w:pPr>
      <w:spacing w:after="0" w:line="240" w:lineRule="auto"/>
      <w:jc w:val="center"/>
    </w:pPr>
    <w:rPr>
      <w:rFonts w:ascii="Times New Roman" w:hAnsi="Times New Roman"/>
      <w:sz w:val="24"/>
      <w:szCs w:val="20"/>
      <w:lang w:eastAsia="ru-RU"/>
    </w:rPr>
  </w:style>
  <w:style w:type="paragraph" w:styleId="BodyTextIndent2">
    <w:name w:val="Body Text Indent 2"/>
    <w:basedOn w:val="Normal"/>
    <w:rsid w:val="00FD5201"/>
    <w:pPr>
      <w:spacing w:after="120" w:line="480" w:lineRule="auto"/>
      <w:ind w:left="283"/>
    </w:pPr>
    <w:rPr>
      <w:rFonts w:eastAsia="Calibri"/>
    </w:rPr>
  </w:style>
  <w:style w:type="character" w:customStyle="1" w:styleId="a1">
    <w:name w:val="Название Знак"/>
    <w:link w:val="Title"/>
    <w:locked/>
    <w:rsid w:val="00FD5201"/>
    <w:rPr>
      <w:sz w:val="24"/>
      <w:lang w:val="ru-RU" w:eastAsia="ru-RU" w:bidi="ar-SA"/>
    </w:rPr>
  </w:style>
  <w:style w:type="paragraph" w:styleId="NoSpacing">
    <w:name w:val="No Spacing"/>
    <w:basedOn w:val="Normal"/>
    <w:qFormat/>
    <w:rsid w:val="00C70679"/>
    <w:pPr>
      <w:spacing w:after="0" w:line="240" w:lineRule="auto"/>
    </w:pPr>
    <w:rPr>
      <w:rFonts w:ascii="Cambria" w:eastAsia="Calibri" w:hAnsi="Cambria"/>
    </w:rPr>
  </w:style>
  <w:style w:type="character" w:customStyle="1" w:styleId="6">
    <w:name w:val="Основной текст (6)_"/>
    <w:link w:val="60"/>
    <w:rsid w:val="00D36FF7"/>
    <w:rPr>
      <w:sz w:val="23"/>
      <w:szCs w:val="23"/>
      <w:lang w:bidi="ar-SA"/>
    </w:rPr>
  </w:style>
  <w:style w:type="paragraph" w:customStyle="1" w:styleId="60">
    <w:name w:val="Основной текст (6)"/>
    <w:basedOn w:val="Normal"/>
    <w:link w:val="6"/>
    <w:rsid w:val="00D36FF7"/>
    <w:pPr>
      <w:shd w:val="clear" w:color="auto" w:fill="FFFFFF"/>
      <w:spacing w:before="600" w:after="0" w:line="283" w:lineRule="exact"/>
      <w:ind w:hanging="260"/>
      <w:jc w:val="both"/>
    </w:pPr>
    <w:rPr>
      <w:rFonts w:ascii="Times New Roman" w:hAnsi="Times New Roman"/>
      <w:sz w:val="23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