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right"/>
        <w:rPr>
          <w:sz w:val="26"/>
          <w:szCs w:val="26"/>
        </w:rPr>
      </w:pPr>
    </w:p>
    <w:p>
      <w:pPr>
        <w:spacing w:before="0" w:after="0"/>
        <w:ind w:firstLine="340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Судья первой инстанции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Рощин О.Л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</w:p>
    <w:p>
      <w:pPr>
        <w:spacing w:before="0" w:after="0"/>
        <w:ind w:firstLine="340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Гр. дело № 33-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7213/22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(ап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 инстанция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)</w:t>
      </w:r>
    </w:p>
    <w:p>
      <w:pPr>
        <w:spacing w:before="0" w:after="0"/>
        <w:ind w:firstLine="340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Гр. дело № 2-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3047/21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(первая инстанция)</w:t>
      </w: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АПЕЛЛЯЦИОННО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ОПРЕДЕЛЕНИЕ</w:t>
      </w: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01 марта 2022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                                                              </w:t>
      </w:r>
      <w:r>
        <w:rPr>
          <w:rStyle w:val="cat-Addressgrp-0rplc-1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Судебная коллегия по гражданским делам Московского городского суда в составе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редседательствующего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судьи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Федерякиной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Е.Ю.,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удей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Ланина Н.А.,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Марченко Е.В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.,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секретаре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Герасимовой А.А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заслушав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открытом судебном заседании по докладу судьи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Ланина Н.А.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дело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апелляционн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ой жалобе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истца ПАО «Сбербанк» в лице филиала Московского банка ПАО «Сбербанк»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на решение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Нагатинского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районного суда </w:t>
      </w:r>
      <w:r>
        <w:rPr>
          <w:rStyle w:val="cat-Addressgrp-1rplc-7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26 октября 2021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года,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Руководствуясь ст. ст. 328 – 330 ГПК РФ, судебная коллегия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ОПРЕДЕЛИЛА</w:t>
      </w:r>
    </w:p>
    <w:p>
      <w:pPr>
        <w:widowControl w:val="0"/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Решение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Нагатинского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районного суда </w:t>
      </w:r>
      <w:r>
        <w:rPr>
          <w:rStyle w:val="cat-Addressgrp-1rplc-8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26 октября 2021 года отменить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widowControl w:val="0"/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Брылева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Владимира Юрьевича в пользу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«Сбербанк России» в лице филиала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Московского банка ПАО «Сбербанк» задолженность по кредитному договору в размере </w:t>
      </w:r>
      <w:r>
        <w:rPr>
          <w:rStyle w:val="cat-Sumgrp-15rplc-10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расходы по оплате государственной пошлины в размере </w:t>
      </w:r>
      <w:r>
        <w:rPr>
          <w:rStyle w:val="cat-Sumgrp-16rplc-11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Председательствующий:</w:t>
      </w: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Судьи: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right"/>
        <w:rPr>
          <w:sz w:val="26"/>
          <w:szCs w:val="26"/>
        </w:rPr>
      </w:pPr>
    </w:p>
    <w:p>
      <w:pPr>
        <w:spacing w:before="0" w:after="0"/>
        <w:ind w:firstLine="340"/>
        <w:jc w:val="center"/>
        <w:rPr>
          <w:sz w:val="26"/>
          <w:szCs w:val="26"/>
        </w:rPr>
      </w:pPr>
    </w:p>
    <w:p>
      <w:pPr>
        <w:spacing w:before="0" w:after="0"/>
        <w:ind w:firstLine="340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Судья первой инстанции Рощин О.Л., </w:t>
      </w:r>
    </w:p>
    <w:p>
      <w:pPr>
        <w:spacing w:before="0" w:after="0"/>
        <w:ind w:firstLine="340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Гр. дело № 33-7213/22 (ап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 инстанция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)</w:t>
      </w:r>
    </w:p>
    <w:p>
      <w:pPr>
        <w:spacing w:before="0" w:after="0"/>
        <w:ind w:firstLine="340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Гр. дело № 2-3047/21 (первая инстанция)</w:t>
      </w: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АПЕЛЛЯЦИОННОЕ ОПРЕДЕЛЕНИЕ</w:t>
      </w: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01 марта 2022 года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                                                              </w:t>
      </w:r>
      <w:r>
        <w:rPr>
          <w:rStyle w:val="cat-Addressgrp-0rplc-13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Судебная коллегия по гражданским делам Московского городского суда в составе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председательствующего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судьи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Федерякиной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Е.Ю.,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судей Ланина Н.А., Марченко Е.В.,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секретаре Герасимовой А.А.,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заслушав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открытом судебном заседании по докладу судьи Ланина Н.А.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дело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апелляционной жалобе истца ПАО «Сбербанк» в лице филиала Московского банка ПАО «Сбербанк» на решение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Нагатинского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районного суда </w:t>
      </w:r>
      <w:r>
        <w:rPr>
          <w:rStyle w:val="cat-Addressgrp-1rplc-19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26 октября 2021 года,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которым постановлено: Иск 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лице филиала Московского банка ПАО Сбербанк оставить без удовлетворения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УСТАНОВИЛА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Истец ПАО Сбербанк в лице филиала Московского банка ПАО Сбербанк обратился в суд с требованием наследственному имуществу </w:t>
      </w:r>
      <w:r>
        <w:rPr>
          <w:rStyle w:val="cat-FIOgrp-10rplc-20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 взыскании задолженности по кредиту с наследников.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Свои требования мотивирует тем, что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11.07.2017 г. между ПАО Сбербанк в лице филиала Московского банка ПАО Сбербанк и </w:t>
      </w:r>
      <w:r>
        <w:rPr>
          <w:rStyle w:val="cat-FIOgrp-10rplc-21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заключен кредитный договор на сумму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 </w:t>
      </w:r>
      <w:r>
        <w:rPr>
          <w:rStyle w:val="cat-Sumgrp-17rplc-22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условиям кредитования.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Задолженность по данному кредиту составляет на 23.09.2020 г. – </w:t>
      </w:r>
      <w:r>
        <w:rPr>
          <w:rStyle w:val="cat-Sumgrp-18rplc-23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состоящая из основного долга </w:t>
      </w:r>
      <w:r>
        <w:rPr>
          <w:rStyle w:val="cat-Sumgrp-19rplc-24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процентов </w:t>
      </w:r>
      <w:r>
        <w:rPr>
          <w:rStyle w:val="cat-Sumgrp-20rplc-25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</w:t>
      </w:r>
      <w:r>
        <w:rPr>
          <w:rStyle w:val="cat-Sumgrp-21rplc-26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неустоек </w:t>
      </w:r>
      <w:r>
        <w:rPr>
          <w:rStyle w:val="cat-Sumgrp-22rplc-27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</w:t>
      </w:r>
      <w:r>
        <w:rPr>
          <w:rStyle w:val="cat-Sumgrp-23rplc-28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13.07.2018 г. заемщик </w:t>
      </w:r>
      <w:r>
        <w:rPr>
          <w:rStyle w:val="cat-FIOgrp-10rplc-29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умерла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Истец просит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взыскать задолженность с наследников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10rplc-30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принявших наследств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При рассмотрении дела судом в качестве ответчика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 участию в деле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привлечен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Брылев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В.Ю., принявший наследство после смерти своей матери </w:t>
      </w:r>
      <w:r>
        <w:rPr>
          <w:rStyle w:val="cat-FIOgrp-10rplc-32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Представитель истца в судебное заседание не явился, уведомлен, в иске представлено заявление о рассмотрении дела в отсутствие истца.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Ответчик в судебное заседание явился, возражал против удовлетворения исковых требований, ссылаясь на то, что указанный кредит его матери </w:t>
      </w:r>
      <w:r>
        <w:rPr>
          <w:rStyle w:val="cat-FIOgrp-10rplc-33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был застрахован на случай ее смерти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29.06.2021 г. он обратился в ПАО Сбербанк с заявлением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выплат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страхового возмещения, сотрудники ПАО Сбербанк сообщили ему, что представленных документов достаточно и к нему больше никаких претензий предъявлено не будет.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Представитель третьего лица ООО «Сбербанк страхование жизни» надлежаще извещенный о слушании дела, в судебное заседание не явился, возражений не представил.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 постановил указанное выше решение, об отмене которого просит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представитель истца ПАО «Сбербанк»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 доводам апелляционной жалобы.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Ответчик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Брылев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В.Ю., представитель третьего лица ООО «Сбербанк страхование жизни»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на заседание судебной коллегии не явил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ись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дате, времени и месте рассмотрения дела извещ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ись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надлежащим образо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м, о причинах неявки не сообщил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с ходатайством об отложении судебного заседания не обращал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ись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связи с чем, судебная коллегия рассмотрела дело в их отсутствие в соответствии со ст. 167 ГПК РФ.</w:t>
      </w:r>
      <w:r>
        <w:rPr>
          <w:rFonts w:ascii="Times New Roman" w:eastAsia="Times New Roman" w:hAnsi="Times New Roman" w:cs="Times New Roman"/>
          <w:spacing w:val="1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Проверив материалы дела, выслушав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объяснения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представителя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истца ПАО «Сбербанк»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по доверенности истца </w:t>
      </w:r>
      <w:r>
        <w:rPr>
          <w:rStyle w:val="cat-FIOgrp-12rplc-35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обсудив доводы апелляционной жалобы,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судебная коллегия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приходит к выводу о том, что решение суда подлежит отмене с вынесением по делу нового решения, по следующим основаниям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ч.1 ст.330 ГПК РФ основаниями для отмены или изменения решения суда в апелляционном порядке являются: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1) неправильное определение обстоятельств, имеющих значение для дела;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2) недоказанность установленных судом первой инстанции обстоятельств, имеющих значение для дела;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3) несоответствие выводов суда первой инстанции, изложенных в решении суда, обстоятельствам дела;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4) нарушение или неправильное применение норм материального права или норм процессуального права.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со ст.195 ГПК РФ, решение суда должно быть законным и обоснованным.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Как разъяснено в п.2, п.3 Постановления Пленума Верховного Суда РФ от 19.12.2003 N 23 «О судебном решении»,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(часть 1 статьи 1, часть 3 статьи 11 ГПК РФ).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(статьи 55, 59 - 61, 67 ГПК РФ), а также тогда, когда оно содержит исчерпывающие выводы суда, вытекающие из установленных фактов.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Между тем, постановленное по настоящему делу решение суда приведенным требованиям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закона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не отвечает.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Судом установлено, что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11.07.2017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между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лице филиала Московского банка ПАО Сбербанк и </w:t>
      </w:r>
      <w:r>
        <w:rPr>
          <w:rStyle w:val="cat-FIOgrp-10rplc-36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заключен кредитный договор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№ 92717014, по условиям которого заемщику </w:t>
      </w:r>
      <w:r>
        <w:rPr>
          <w:rStyle w:val="cat-FIOgrp-10rplc-37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предоставлена денежная сумма в размере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 </w:t>
      </w:r>
      <w:r>
        <w:rPr>
          <w:rStyle w:val="cat-Sumgrp-17rplc-38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на срок 26 месяцев, с условием об уплате процентов за пользование кредитом из расчета 14,9 % годовых.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13.07.2018 г. заемщик </w:t>
      </w:r>
      <w:r>
        <w:rPr>
          <w:rStyle w:val="cat-FIOgrp-10rplc-39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умерла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Брылев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В.Ю. является наследником </w:t>
      </w:r>
      <w:r>
        <w:rPr>
          <w:rStyle w:val="cat-FIOgrp-10rplc-41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21 января 2019 года нотариусом </w:t>
      </w:r>
      <w:r>
        <w:rPr>
          <w:rStyle w:val="cat-Addressgrp-1rplc-42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14rplc-43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Брылеву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В.Ю. выдано свидетельство о праве на наследство в виде квартиры, расположенной по адресу: </w:t>
      </w:r>
      <w:r>
        <w:rPr>
          <w:rStyle w:val="cat-Addressgrp-2rplc-44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земельного участка, расположенного по адресу: </w:t>
      </w:r>
      <w:r>
        <w:rPr>
          <w:rStyle w:val="cat-Addressgrp-3rplc-45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денежных вкладов, хранящихся в ПАО «Сбербанк Московский банк.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Из искового заявления следует, что обязательства по кредитному договору не исполняются, погашение задолженности не производится.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представленному истцом расчету, по состоянию на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23.09.2020 г.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задолженность по кредитному договору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92717014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составляет </w:t>
      </w:r>
      <w:r>
        <w:rPr>
          <w:rStyle w:val="cat-Sumgrp-18rplc-46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том числе: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основно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долг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- </w:t>
      </w:r>
      <w:r>
        <w:rPr>
          <w:rStyle w:val="cat-Sumgrp-19rplc-47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процент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ы 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Sumgrp-20rplc-48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</w:t>
      </w:r>
      <w:r>
        <w:rPr>
          <w:rStyle w:val="cat-Sumgrp-21rplc-49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неусто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йки 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Sumgrp-22rplc-50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</w:t>
      </w:r>
      <w:r>
        <w:rPr>
          <w:rStyle w:val="cat-Sumgrp-23rplc-51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Отказывая ПАО «Сбербанк»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лице филиала Московского кредитного банка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удовлетворении исковых требований 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Брылеву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В.Ю.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 первой инстанции исходил из того, что ответственность </w:t>
      </w:r>
      <w:r>
        <w:rPr>
          <w:rStyle w:val="cat-FIOgrp-10rplc-53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кредитному договору застрахована в ООО «Сбербанк страхование жизни»,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обязанность по выплате страховой суммы с 13 июля 2018 г. (даты смерти </w:t>
      </w:r>
      <w:r>
        <w:rPr>
          <w:rStyle w:val="cat-FIOgrp-10rplc-54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) лежит на страховщике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«Сбербанк», являясь выгодоприобретателем по договору страхования при наступлении страхового случая вправе требовать выплаты страхового возмещения в свою пользу со страховщика,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связи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ч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ем пришел к выводу о том, что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требовани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истца к ответчику о выплате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задолженности по кредитному договору являются неправомерными.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 выводами суда, послужившими основанием для отказа истцу в удовлетворении исковых требований, судебная коллегия согласиться не может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 п. 1 ст. 929 ГК РФ, 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 договору имущественного страхования одна сторона (страховщик) обязуется за обусловленную договором плату (страховую премию) при наступлении предусмотренного в договоре события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"consultantplus://offline/ref=44B858C6FBAD12DE1A0E1BC5D594C9FA4F7B269562277E8C06B67935021967BE33CACBC58028864F6475D0D027B223FCB7A84C4F8FC546C1p4ABQ"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(страхового случая)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возместить другой стороне (страхователю) или иному лицу, в пользу которого заключен договор (выгодоприобретателю), причиненные вследствие этого события убытки в застрахованном имуществе либо убытки в связи с иными имущественными интересами страхователя (выплатить страховое возмещение) в пределах определенной договором суммы (страховой суммы).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со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"consultantplus://offline/ref=29EAEA89653246111C0A32F3AA11EEDF18E4FE0B8CBAC122C0F6A87375A97E18457E80BE79CCC8751280DED35C05E7CA6DF455E6B711D78B14HFQ"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ст. 819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ГК РФ по кредитному договору банк или иная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 отношениям по кредитному договору применяются правила, предусмотренные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"consultantplus://offline/ref=29EAEA89653246111C0A32F3AA11EEDF18E4FE0B8CBAC122C0F6A87375A97E18457E80BE79CCC87E1380DED35C05E7CA6DF455E6B711D78B14HFQ"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параграфом 1 главы 42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ГК РФ, если иное не предусмотрено правилами данного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"consultantplus://offline/ref=29EAEA89653246111C0A32F3AA11EEDF18E4FE0B8CBAC122C0F6A87375A97E18457E80BE79CCC87E1380DED35C05E7CA6DF455E6B711D78B14HFQ"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параграфа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не вытекает из существа кредитного договора.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  <w:highlight w:val="none"/>
        </w:rPr>
        <w:instrText xml:space="preserve"> HYPERLINK "consultantplus://offline/ref=29EAEA89653246111C0A32F3AA11EEDF18E4FE0B8CBAC122C0F6A87375A97E18457E80BE71C4C72945CFDF8F1B50F4C96EF457E5AB11H1Q" </w:instrText>
      </w:r>
      <w:r>
        <w:rPr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Часть 1 ст. 807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ГК РФ устанавливает, что по договору займа одна сторона (заимодавец)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заимодавцу такую же сумму денег (сумму займа) или равное количество других полученных им вещей того же рода и качества.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силу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"consultantplus://offline/ref=29EAEA89653246111C0A32F3AA11EEDF18E4FE0B8CBAC122C0F6A87375A97E18457E80BE79CCC8781680DED35C05E7CA6DF455E6B711D78B14HFQ"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ч. 1 ст. 810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"consultantplus://offline/ref=29EAEA89653246111C0A32F3AA11EEDF18E4FE0B8CBAC122C0F6A87375A97E18457E80BE79CCC8781380DED35C05E7CA6DF455E6B711D78B14HFQ"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ст. 811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ГК РФ заемщик обязан возвратить заимодавцу полученную сумму займа в срок и в порядке, которые предусмотрены договором займа. При нарушении заемщиком срока, установленного для возврата очередной части займа, заимодавец имеет право потребовать досрочного возврата всей оставшейся суммы вместе с причитающимися процентами.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со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"consultantplus://offline/ref=29EAEA89653246111C0A32F3AA11EEDF18E2FE0C8BBAC122C0F6A87375A97E18457E80BE79CCC9791480DED35C05E7CA6DF455E6B711D78B14HFQ"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ст. ст. 309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-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"consultantplus://offline/ref=29EAEA89653246111C0A32F3AA11EEDF18E2FE0C8BBAC122C0F6A87375A97E18457E80BE79C8CD7E1FDFDBC64D5DE9C973EA56FBAB13D518HBQ"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310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ГК РФ, обязательства должны исполняться надлежащим образом, односторонний отказ от исполнения обязательств не допускается.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"consultantplus://offline/ref=29EAEA89653246111C0A32F3AA11EEDF18E4FE0B8CBFC122C0F6A87375A97E18457E80BE79CDCC7C1180DED35C05E7CA6DF455E6B711D78B14HFQ"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ст. 1112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Гражданского кодекса Российской Федерации (далее - ГК РФ)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"consultantplus://offline/ref=29EAEA89653246111C0A32F3AA11EEDF18E4FE0B8CBFC122C0F6A87375A97E18457E80BE79CDCF791580DED35C05E7CA6DF455E6B711D78B14HFQ"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п. 1 ст. 1175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ГК РФ наследники, принявшие наследство, отвечают по долгам наследодателя солидарно (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"consultantplus://offline/ref=29EAEA89653246111C0A32F3AA11EEDF18E2FE0C8BBAC122C0F6A87375A97E18457E80BE79CCC97A1D80DED35C05E7CA6DF455E6B711D78B14HFQ"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статья 323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ГК РФ). Каждый из наследников отвечает по долгам наследодателя в пределах стоимости перешедшего к нему наследственного имущества.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Как разъяснено в пункте 14 Постановления Пленума Верховного Суда Российской Федерации от дата N 9 "О судебной практике по делам о наследовании", в состав наследства входит принадлежавшее наследодателю на день открытия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наследства имущество, в частности: вещи, включая деньги и ценные бумаги (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"consultantplus://offline/ref=29EAEA89653246111C0A32F3AA11EEDF18E2FE0C8BBAC122C0F6A87375A97E18457E80BA7CC9C72945CFDF8F1B50F4C96EF457E5AB11H1Q"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статья 128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Гражданского кодекса Российской Федерации); имущественные права (в том числе права, вытекающие из договоров, заключенных наследодателем, если иное не предусмотрено законом или договором; исключительные права на результаты интеллектуальной деятельности или на средства индивидуализации; права на получение присужденных наследодателю, но не полученных им денежных сумм); имущественные обязанности, в том числе долги в пределах стоимости перешедшего к наследникам наследственного имущества (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"consultantplus://offline/ref=29EAEA89653246111C0A32F3AA11EEDF18E4FE0B8CBFC122C0F6A87375A97E18457E80BE79CDCF791580DED35C05E7CA6DF455E6B711D78B14HFQ"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пункт 1 статьи 1175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Гражданского кодекса Российской Федерации).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Из содержания указанных норм в их взаимосвязи следует, что не связанные с личностью наследодателя имущественные права и обязанности входят в состав наследства (наследственного имущества). При этом к наследникам одновременно переходят как права на наследственное имущество, так и обязанности по погашению соответствующих долгов наследодателя, если они имелись на день его смерти. Наследник должника, при условии принятия им наследства, становится должником кредитора наследодателя в пределах стоимости перешедшего к нему наследственного имущества.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"consultantplus://offline/ref=29EAEA89653246111C0A32F3AA11EEDF18E4FD098CB9C122C0F6A87375A97E18457E80BE79CDCD751580DED35C05E7CA6DF455E6B711D78B14HFQ"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пункте 58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Постановления Пленума Верховного Суда РФ "О судебной практике по делам о наследовании" разъяснено, что под долгами наследодателя, по которым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 (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"consultantplus://offline/ref=29EAEA89653246111C0A32F3AA11EEDF18E2FE0C8BBAC122C0F6A87375A97E18457E80BE79CCC57A1380DED35C05E7CA6DF455E6B711D78B14HFQ"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статья 418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Так, отказывая в удовлетворении исковых требования о взыскании с </w:t>
      </w:r>
      <w:r>
        <w:rPr>
          <w:rStyle w:val="cat-FIOgrp-13rplc-55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задолженности по кредитному договору, суд первой инстанции не учел, что 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редитные обязательства и страховые обязательства носят самостоятельный характер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наличие страхового обязательства само по себе от обязанности исполнения кредитного обязательства не освобождает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есмотря на то, что риск невозврата кредита в связи наступлением страхового случая, предусмотренного договором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страхования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застрахован, банк вправе защитить нарушенное право путем предъявления требований к наследнику заемщика как правопреемнику по обязательствам последнего. Законом не предусмотрены императивные нормы, предписывающие использование кредитором при наступлении страхового случая лишь одного способа защиты права - путем обращения к страховщику. Ответчик, в свою очередь, не лишен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возможности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обратиться в страховую компанию с заявлением о выплате страхового возмещения, представив необходимые документы; при отказе в выплате - с соответствующим иском в суд.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материалах дела отсутствуют данные об обязанности кредитора ПАО «Сбербанк» по обращению к страховщику с заявлением о выплате страхового возмещения в случае наступления события, предусмотренного договором страхования.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Из представленных в суд документов усматривается, что 29 июня 2021 года наслед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ик </w:t>
      </w:r>
      <w:r>
        <w:rPr>
          <w:rStyle w:val="cat-FIOgrp-10rplc-56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Брылев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Ю. обратился в ООО СК «Сбербанк страхование жизни» с заявлением о наступлении события, имеющего признаки страхового случая к договор страхования № Р01335964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11.10.2017 года к кредитному договору № 92717014.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представленному в суд ответу ООО СК «Сбербанк Страхование жизни», указанное заявление страховщиком исполнено не было. Заявителю предложено представит оригиналы или надлежащим образом заверенные копии документов,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справка о смерти, нотариально заверенная копия свидетельства о смерти. (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л.д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 89-91).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При таких обстоятельствах, оснований полагать, что по заявленным истцом требования о взыскании задолженности по кредитному договору наследник заемщика </w:t>
      </w:r>
      <w:r>
        <w:rPr>
          <w:rStyle w:val="cat-FIOgrp-10rplc-58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Брылев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В.Ю. отвечать не должен, у судебной коллегии не имеется.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Учитывая то, что имеющие значение для дела обстоятельства определены судом неправильно, решение суда первой инстанции подлежит отмене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 вынесением по делу нового решения.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Принимая во внимание то, что принятого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Брылевым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В.Ю.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порядке наследования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имущества достаточно для удовлетворения требований кредитора </w:t>
      </w:r>
      <w:r>
        <w:rPr>
          <w:rStyle w:val="cat-FIOgrp-10rplc-61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судебная коллегия, принимая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по делу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новое решение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полагает возможным исковые требования ПАО «Сбербанк» в лице филиала Московского банка ПАО Сбербанк удовлетворить, взыскав с ответчика в пользу истца задолженность по кредитному договору в заявленном истцом размере в сумме </w:t>
      </w:r>
      <w:r>
        <w:rPr>
          <w:rStyle w:val="cat-Sumgrp-24rplc-62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в том числе просроченный основной долг – </w:t>
      </w:r>
      <w:r>
        <w:rPr>
          <w:rStyle w:val="cat-Sumgrp-25rplc-63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просроченные проценты на просроченный основной долг – </w:t>
      </w:r>
      <w:r>
        <w:rPr>
          <w:rStyle w:val="cat-Sumgrp-26rplc-64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просроченные проценты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Sumgrp-27rplc-65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неустойка по кредиту – </w:t>
      </w:r>
      <w:r>
        <w:rPr>
          <w:rStyle w:val="cat-Sumgrp-28rplc-66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неустойка по процентам – </w:t>
      </w:r>
      <w:r>
        <w:rPr>
          <w:rStyle w:val="cat-Sumgrp-29rplc-67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Также с ответчика в пользу истца в силу ст. 98 ГПК РФ подлежат взысканию расходы, связанные с рассмотрением дела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виде расходов по уплате государственной пошлины в сумме </w:t>
      </w:r>
      <w:r>
        <w:rPr>
          <w:rStyle w:val="cat-Sumgrp-16rplc-68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Руководствуясь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ст.ст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328, 329, 330 ГПК РФ, судебная коллегия </w:t>
      </w:r>
    </w:p>
    <w:p>
      <w:pPr>
        <w:spacing w:before="0" w:after="0"/>
        <w:ind w:firstLine="340"/>
        <w:jc w:val="center"/>
        <w:rPr>
          <w:sz w:val="26"/>
          <w:szCs w:val="26"/>
        </w:rPr>
      </w:pPr>
    </w:p>
    <w:p>
      <w:pPr>
        <w:spacing w:before="0" w:after="0"/>
        <w:ind w:firstLine="34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ОПРЕДЕЛИЛА</w:t>
      </w:r>
    </w:p>
    <w:p>
      <w:pPr>
        <w:widowControl w:val="0"/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Решение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Нагатинского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районного суда </w:t>
      </w:r>
      <w:r>
        <w:rPr>
          <w:rStyle w:val="cat-Addressgrp-1rplc-69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26 октября 2021 года отменить.</w:t>
      </w:r>
    </w:p>
    <w:p>
      <w:pPr>
        <w:widowControl w:val="0"/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Брылева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Владимира Юрьевича в пользу ПАО «Сбербанк России» в лице филиала Московского банка ПАО «Сбербанк» задолженность по кредитному договору в размере </w:t>
      </w:r>
      <w:r>
        <w:rPr>
          <w:rStyle w:val="cat-Sumgrp-15rplc-71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расходы по оплате государственной пошлины в размере </w:t>
      </w:r>
      <w:r>
        <w:rPr>
          <w:rStyle w:val="cat-Sumgrp-16rplc-72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Председательствующий:</w:t>
      </w: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Судьи: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spacing w:before="0" w:after="0"/>
        <w:ind w:firstLine="340"/>
        <w:jc w:val="both"/>
        <w:rPr>
          <w:sz w:val="26"/>
          <w:szCs w:val="26"/>
        </w:rPr>
      </w:pP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  <w:highlight w:val="none"/>
      </w:rPr>
      <w:instrText>PAGE   \* MERGEFORMAT</w:instrText>
    </w:r>
    <w:r>
      <w:rPr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sz w:val="20"/>
        <w:szCs w:val="20"/>
        <w:highlight w:val="none"/>
      </w:rPr>
      <w:t>1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>
    <w:pPr>
      <w:spacing w:before="0" w:after="0"/>
      <w:rPr>
        <w:sz w:val="20"/>
        <w:szCs w:val="20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1">
    <w:name w:val="cat-Address grp-0 rplc-1"/>
    <w:basedOn w:val="DefaultParagraphFont"/>
  </w:style>
  <w:style w:type="character" w:customStyle="1" w:styleId="cat-Addressgrp-1rplc-7">
    <w:name w:val="cat-Address grp-1 rplc-7"/>
    <w:basedOn w:val="DefaultParagraphFont"/>
  </w:style>
  <w:style w:type="character" w:customStyle="1" w:styleId="cat-Addressgrp-1rplc-8">
    <w:name w:val="cat-Address grp-1 rplc-8"/>
    <w:basedOn w:val="DefaultParagraphFont"/>
  </w:style>
  <w:style w:type="character" w:customStyle="1" w:styleId="cat-Sumgrp-15rplc-10">
    <w:name w:val="cat-Sum grp-15 rplc-10"/>
    <w:basedOn w:val="DefaultParagraphFont"/>
  </w:style>
  <w:style w:type="character" w:customStyle="1" w:styleId="cat-Sumgrp-16rplc-11">
    <w:name w:val="cat-Sum grp-16 rplc-11"/>
    <w:basedOn w:val="DefaultParagraphFont"/>
  </w:style>
  <w:style w:type="character" w:customStyle="1" w:styleId="cat-Addressgrp-0rplc-13">
    <w:name w:val="cat-Address grp-0 rplc-13"/>
    <w:basedOn w:val="DefaultParagraphFont"/>
  </w:style>
  <w:style w:type="character" w:customStyle="1" w:styleId="cat-Addressgrp-1rplc-19">
    <w:name w:val="cat-Address grp-1 rplc-19"/>
    <w:basedOn w:val="DefaultParagraphFont"/>
  </w:style>
  <w:style w:type="character" w:customStyle="1" w:styleId="cat-FIOgrp-10rplc-20">
    <w:name w:val="cat-FIO grp-10 rplc-20"/>
    <w:basedOn w:val="DefaultParagraphFont"/>
  </w:style>
  <w:style w:type="character" w:customStyle="1" w:styleId="cat-FIOgrp-10rplc-21">
    <w:name w:val="cat-FIO grp-10 rplc-21"/>
    <w:basedOn w:val="DefaultParagraphFont"/>
  </w:style>
  <w:style w:type="character" w:customStyle="1" w:styleId="cat-Sumgrp-17rplc-22">
    <w:name w:val="cat-Sum grp-17 rplc-22"/>
    <w:basedOn w:val="DefaultParagraphFont"/>
  </w:style>
  <w:style w:type="character" w:customStyle="1" w:styleId="cat-Sumgrp-18rplc-23">
    <w:name w:val="cat-Sum grp-18 rplc-23"/>
    <w:basedOn w:val="DefaultParagraphFont"/>
  </w:style>
  <w:style w:type="character" w:customStyle="1" w:styleId="cat-Sumgrp-19rplc-24">
    <w:name w:val="cat-Sum grp-19 rplc-24"/>
    <w:basedOn w:val="DefaultParagraphFont"/>
  </w:style>
  <w:style w:type="character" w:customStyle="1" w:styleId="cat-Sumgrp-20rplc-25">
    <w:name w:val="cat-Sum grp-20 rplc-25"/>
    <w:basedOn w:val="DefaultParagraphFont"/>
  </w:style>
  <w:style w:type="character" w:customStyle="1" w:styleId="cat-Sumgrp-21rplc-26">
    <w:name w:val="cat-Sum grp-21 rplc-26"/>
    <w:basedOn w:val="DefaultParagraphFont"/>
  </w:style>
  <w:style w:type="character" w:customStyle="1" w:styleId="cat-Sumgrp-22rplc-27">
    <w:name w:val="cat-Sum grp-22 rplc-27"/>
    <w:basedOn w:val="DefaultParagraphFont"/>
  </w:style>
  <w:style w:type="character" w:customStyle="1" w:styleId="cat-Sumgrp-23rplc-28">
    <w:name w:val="cat-Sum grp-23 rplc-28"/>
    <w:basedOn w:val="DefaultParagraphFont"/>
  </w:style>
  <w:style w:type="character" w:customStyle="1" w:styleId="cat-FIOgrp-10rplc-29">
    <w:name w:val="cat-FIO grp-10 rplc-29"/>
    <w:basedOn w:val="DefaultParagraphFont"/>
  </w:style>
  <w:style w:type="character" w:customStyle="1" w:styleId="cat-FIOgrp-10rplc-30">
    <w:name w:val="cat-FIO grp-10 rplc-30"/>
    <w:basedOn w:val="DefaultParagraphFont"/>
  </w:style>
  <w:style w:type="character" w:customStyle="1" w:styleId="cat-FIOgrp-10rplc-32">
    <w:name w:val="cat-FIO grp-10 rplc-32"/>
    <w:basedOn w:val="DefaultParagraphFont"/>
  </w:style>
  <w:style w:type="character" w:customStyle="1" w:styleId="cat-FIOgrp-10rplc-33">
    <w:name w:val="cat-FIO grp-10 rplc-33"/>
    <w:basedOn w:val="DefaultParagraphFont"/>
  </w:style>
  <w:style w:type="character" w:customStyle="1" w:styleId="cat-FIOgrp-12rplc-35">
    <w:name w:val="cat-FIO grp-12 rplc-35"/>
    <w:basedOn w:val="DefaultParagraphFont"/>
  </w:style>
  <w:style w:type="character" w:customStyle="1" w:styleId="cat-FIOgrp-10rplc-36">
    <w:name w:val="cat-FIO grp-10 rplc-36"/>
    <w:basedOn w:val="DefaultParagraphFont"/>
  </w:style>
  <w:style w:type="character" w:customStyle="1" w:styleId="cat-FIOgrp-10rplc-37">
    <w:name w:val="cat-FIO grp-10 rplc-37"/>
    <w:basedOn w:val="DefaultParagraphFont"/>
  </w:style>
  <w:style w:type="character" w:customStyle="1" w:styleId="cat-Sumgrp-17rplc-38">
    <w:name w:val="cat-Sum grp-17 rplc-38"/>
    <w:basedOn w:val="DefaultParagraphFont"/>
  </w:style>
  <w:style w:type="character" w:customStyle="1" w:styleId="cat-FIOgrp-10rplc-39">
    <w:name w:val="cat-FIO grp-10 rplc-39"/>
    <w:basedOn w:val="DefaultParagraphFont"/>
  </w:style>
  <w:style w:type="character" w:customStyle="1" w:styleId="cat-FIOgrp-10rplc-41">
    <w:name w:val="cat-FIO grp-10 rplc-41"/>
    <w:basedOn w:val="DefaultParagraphFont"/>
  </w:style>
  <w:style w:type="character" w:customStyle="1" w:styleId="cat-Addressgrp-1rplc-42">
    <w:name w:val="cat-Address grp-1 rplc-42"/>
    <w:basedOn w:val="DefaultParagraphFont"/>
  </w:style>
  <w:style w:type="character" w:customStyle="1" w:styleId="cat-FIOgrp-14rplc-43">
    <w:name w:val="cat-FIO grp-14 rplc-43"/>
    <w:basedOn w:val="DefaultParagraphFont"/>
  </w:style>
  <w:style w:type="character" w:customStyle="1" w:styleId="cat-Addressgrp-2rplc-44">
    <w:name w:val="cat-Address grp-2 rplc-44"/>
    <w:basedOn w:val="DefaultParagraphFont"/>
  </w:style>
  <w:style w:type="character" w:customStyle="1" w:styleId="cat-Addressgrp-3rplc-45">
    <w:name w:val="cat-Address grp-3 rplc-45"/>
    <w:basedOn w:val="DefaultParagraphFont"/>
  </w:style>
  <w:style w:type="character" w:customStyle="1" w:styleId="cat-Sumgrp-18rplc-46">
    <w:name w:val="cat-Sum grp-18 rplc-46"/>
    <w:basedOn w:val="DefaultParagraphFont"/>
  </w:style>
  <w:style w:type="character" w:customStyle="1" w:styleId="cat-Sumgrp-19rplc-47">
    <w:name w:val="cat-Sum grp-19 rplc-47"/>
    <w:basedOn w:val="DefaultParagraphFont"/>
  </w:style>
  <w:style w:type="character" w:customStyle="1" w:styleId="cat-Sumgrp-20rplc-48">
    <w:name w:val="cat-Sum grp-20 rplc-48"/>
    <w:basedOn w:val="DefaultParagraphFont"/>
  </w:style>
  <w:style w:type="character" w:customStyle="1" w:styleId="cat-Sumgrp-21rplc-49">
    <w:name w:val="cat-Sum grp-21 rplc-49"/>
    <w:basedOn w:val="DefaultParagraphFont"/>
  </w:style>
  <w:style w:type="character" w:customStyle="1" w:styleId="cat-Sumgrp-22rplc-50">
    <w:name w:val="cat-Sum grp-22 rplc-50"/>
    <w:basedOn w:val="DefaultParagraphFont"/>
  </w:style>
  <w:style w:type="character" w:customStyle="1" w:styleId="cat-Sumgrp-23rplc-51">
    <w:name w:val="cat-Sum grp-23 rplc-51"/>
    <w:basedOn w:val="DefaultParagraphFont"/>
  </w:style>
  <w:style w:type="character" w:customStyle="1" w:styleId="cat-FIOgrp-10rplc-53">
    <w:name w:val="cat-FIO grp-10 rplc-53"/>
    <w:basedOn w:val="DefaultParagraphFont"/>
  </w:style>
  <w:style w:type="character" w:customStyle="1" w:styleId="cat-FIOgrp-10rplc-54">
    <w:name w:val="cat-FIO grp-10 rplc-54"/>
    <w:basedOn w:val="DefaultParagraphFont"/>
  </w:style>
  <w:style w:type="character" w:customStyle="1" w:styleId="cat-FIOgrp-13rplc-55">
    <w:name w:val="cat-FIO grp-13 rplc-55"/>
    <w:basedOn w:val="DefaultParagraphFont"/>
  </w:style>
  <w:style w:type="character" w:customStyle="1" w:styleId="cat-FIOgrp-10rplc-56">
    <w:name w:val="cat-FIO grp-10 rplc-56"/>
    <w:basedOn w:val="DefaultParagraphFont"/>
  </w:style>
  <w:style w:type="character" w:customStyle="1" w:styleId="cat-FIOgrp-10rplc-58">
    <w:name w:val="cat-FIO grp-10 rplc-58"/>
    <w:basedOn w:val="DefaultParagraphFont"/>
  </w:style>
  <w:style w:type="character" w:customStyle="1" w:styleId="cat-FIOgrp-10rplc-61">
    <w:name w:val="cat-FIO grp-10 rplc-61"/>
    <w:basedOn w:val="DefaultParagraphFont"/>
  </w:style>
  <w:style w:type="character" w:customStyle="1" w:styleId="cat-Sumgrp-24rplc-62">
    <w:name w:val="cat-Sum grp-24 rplc-62"/>
    <w:basedOn w:val="DefaultParagraphFont"/>
  </w:style>
  <w:style w:type="character" w:customStyle="1" w:styleId="cat-Sumgrp-25rplc-63">
    <w:name w:val="cat-Sum grp-25 rplc-63"/>
    <w:basedOn w:val="DefaultParagraphFont"/>
  </w:style>
  <w:style w:type="character" w:customStyle="1" w:styleId="cat-Sumgrp-26rplc-64">
    <w:name w:val="cat-Sum grp-26 rplc-64"/>
    <w:basedOn w:val="DefaultParagraphFont"/>
  </w:style>
  <w:style w:type="character" w:customStyle="1" w:styleId="cat-Sumgrp-27rplc-65">
    <w:name w:val="cat-Sum grp-27 rplc-65"/>
    <w:basedOn w:val="DefaultParagraphFont"/>
  </w:style>
  <w:style w:type="character" w:customStyle="1" w:styleId="cat-Sumgrp-28rplc-66">
    <w:name w:val="cat-Sum grp-28 rplc-66"/>
    <w:basedOn w:val="DefaultParagraphFont"/>
  </w:style>
  <w:style w:type="character" w:customStyle="1" w:styleId="cat-Sumgrp-29rplc-67">
    <w:name w:val="cat-Sum grp-29 rplc-67"/>
    <w:basedOn w:val="DefaultParagraphFont"/>
  </w:style>
  <w:style w:type="character" w:customStyle="1" w:styleId="cat-Sumgrp-16rplc-68">
    <w:name w:val="cat-Sum grp-16 rplc-68"/>
    <w:basedOn w:val="DefaultParagraphFont"/>
  </w:style>
  <w:style w:type="character" w:customStyle="1" w:styleId="cat-Addressgrp-1rplc-69">
    <w:name w:val="cat-Address grp-1 rplc-69"/>
    <w:basedOn w:val="DefaultParagraphFont"/>
  </w:style>
  <w:style w:type="character" w:customStyle="1" w:styleId="cat-Sumgrp-15rplc-71">
    <w:name w:val="cat-Sum grp-15 rplc-71"/>
    <w:basedOn w:val="DefaultParagraphFont"/>
  </w:style>
  <w:style w:type="character" w:customStyle="1" w:styleId="cat-Sumgrp-16rplc-72">
    <w:name w:val="cat-Sum grp-16 rplc-72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