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81B5EC3" w14:textId="77777777" w:rsidR="00000000" w:rsidRDefault="004B21B0">
      <w:pPr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Судья: Смирнова М.В.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Гражданское дело № 33-7816</w:t>
      </w:r>
    </w:p>
    <w:p w14:paraId="1D0F2473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</w:p>
    <w:p w14:paraId="68F61FCC" w14:textId="77777777" w:rsidR="00000000" w:rsidRDefault="004B21B0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АПЕЛЛЯЦИОННОЕ ОПРЕДЕЛЕНИЕ</w:t>
      </w:r>
    </w:p>
    <w:p w14:paraId="452ED503" w14:textId="77777777" w:rsidR="00000000" w:rsidRDefault="004B21B0">
      <w:pPr>
        <w:ind w:firstLine="709"/>
        <w:jc w:val="both"/>
        <w:rPr>
          <w:lang w:val="en-BE" w:eastAsia="en-BE" w:bidi="ar-SA"/>
        </w:rPr>
      </w:pPr>
    </w:p>
    <w:p w14:paraId="30AEB041" w14:textId="77777777" w:rsidR="00000000" w:rsidRDefault="004B21B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20 февраля 2019 года судебная коллегия по гражданским делам Московского городского суда в составе председательствующего Горновой М.В.</w:t>
      </w:r>
    </w:p>
    <w:p w14:paraId="38AC7120" w14:textId="77777777" w:rsidR="00000000" w:rsidRDefault="004B21B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судей Аванесовой Г.А., Родино</w:t>
      </w:r>
      <w:r>
        <w:rPr>
          <w:lang w:val="en-BE" w:eastAsia="en-BE" w:bidi="ar-SA"/>
        </w:rPr>
        <w:t>й Т.В.</w:t>
      </w:r>
    </w:p>
    <w:p w14:paraId="4A7CA55A" w14:textId="77777777" w:rsidR="00000000" w:rsidRDefault="004B21B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секретаре Дзуцеве В.С.</w:t>
      </w:r>
    </w:p>
    <w:p w14:paraId="2AE04789" w14:textId="77777777" w:rsidR="00000000" w:rsidRDefault="004B21B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заслушав в открытом судебном заседании по докладу судьи Горновой М.В.</w:t>
      </w:r>
    </w:p>
    <w:p w14:paraId="79252470" w14:textId="77777777" w:rsidR="00000000" w:rsidRDefault="004B21B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дело по апелляционной жалобе ПАО «Сбербанк России»</w:t>
      </w:r>
    </w:p>
    <w:p w14:paraId="20F3DC71" w14:textId="77777777" w:rsidR="00000000" w:rsidRDefault="004B21B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 решение Мещанского районного суда г. Москвы от 14 июня 2017 года, которым постановлено: в удовлетв</w:t>
      </w:r>
      <w:r>
        <w:rPr>
          <w:lang w:val="en-BE" w:eastAsia="en-BE" w:bidi="ar-SA"/>
        </w:rPr>
        <w:t>орении иска ПАО «Сбербанк России» к ФАУГИ о расторжении кредитного договора, взыскании задолженности по договору, обращении взыскания на предмет залога – отказать,</w:t>
      </w:r>
    </w:p>
    <w:p w14:paraId="465CA95A" w14:textId="77777777" w:rsidR="00000000" w:rsidRDefault="004B21B0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УСТАНОВИЛА:</w:t>
      </w:r>
    </w:p>
    <w:p w14:paraId="6BD9B46A" w14:textId="77777777" w:rsidR="00000000" w:rsidRDefault="004B21B0">
      <w:pPr>
        <w:ind w:firstLine="709"/>
        <w:jc w:val="both"/>
        <w:rPr>
          <w:lang w:val="en-BE" w:eastAsia="en-BE" w:bidi="ar-SA"/>
        </w:rPr>
      </w:pPr>
    </w:p>
    <w:p w14:paraId="19EB34BB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обратилось в суд с иском к ФАУГИ о расторжении кредитного</w:t>
      </w:r>
      <w:r>
        <w:rPr>
          <w:lang w:val="en-BE" w:eastAsia="en-BE" w:bidi="ar-SA"/>
        </w:rPr>
        <w:t xml:space="preserve"> договора, взыскании задолженности по кредитному договору, обращении взыскания на предмет залога. В обосновании заявленных требований истец указал, что 24 ноября 2012 года между истцом и Сафронниковой Н.А. был заключен кредитный договор № 948213, по услови</w:t>
      </w:r>
      <w:r>
        <w:rPr>
          <w:lang w:val="en-BE" w:eastAsia="en-BE" w:bidi="ar-SA"/>
        </w:rPr>
        <w:t xml:space="preserve">ям которого истец обязался предоставить заемщику Сафронниковой Н.А. кредит в сумме 528 786 руб. 35 коп. на срок 60 месяцев на приобретение автомобиля </w:t>
      </w:r>
      <w:r>
        <w:rPr>
          <w:rStyle w:val="cat-CarMakeModelgrp-30rplc-16"/>
          <w:lang w:val="en-BE" w:eastAsia="en-BE" w:bidi="ar-SA"/>
        </w:rPr>
        <w:t>марка автомобиля</w:t>
      </w:r>
      <w:r>
        <w:rPr>
          <w:lang w:val="en-BE" w:eastAsia="en-BE" w:bidi="ar-SA"/>
        </w:rPr>
        <w:t xml:space="preserve"> </w:t>
      </w:r>
      <w:r>
        <w:rPr>
          <w:rStyle w:val="cat-UserDefinedgrp-33rplc-17"/>
          <w:lang w:val="en-BE" w:eastAsia="en-BE" w:bidi="ar-SA"/>
        </w:rPr>
        <w:t>...</w:t>
      </w:r>
      <w:r>
        <w:rPr>
          <w:lang w:val="en-BE" w:eastAsia="en-BE" w:bidi="ar-SA"/>
        </w:rPr>
        <w:t xml:space="preserve">, 2012 года выпуска, идентификационный № </w:t>
      </w:r>
      <w:r>
        <w:rPr>
          <w:rStyle w:val="cat-UserDefinedgrp-32rplc-18"/>
          <w:lang w:val="en-BE" w:eastAsia="en-BE" w:bidi="ar-SA"/>
        </w:rPr>
        <w:t>...</w:t>
      </w:r>
      <w:r>
        <w:rPr>
          <w:lang w:val="en-BE" w:eastAsia="en-BE" w:bidi="ar-SA"/>
        </w:rPr>
        <w:t>. В обеспечение исполнения обязательств по</w:t>
      </w:r>
      <w:r>
        <w:rPr>
          <w:lang w:val="en-BE" w:eastAsia="en-BE" w:bidi="ar-SA"/>
        </w:rPr>
        <w:t xml:space="preserve"> кредитному договору, истец заключил с Сафронниковой Н.А. договор залога приобретаемого имущества № 948213/1 от 24.11.2012. Истец свои обязательства по заключенному кредитному договору исполнил. </w:t>
      </w:r>
      <w:r>
        <w:rPr>
          <w:rStyle w:val="cat-UserDefinedgrp-5rplc-22"/>
          <w:lang w:val="en-BE" w:eastAsia="en-BE" w:bidi="ar-SA"/>
        </w:rPr>
        <w:t>...</w:t>
      </w:r>
      <w:r>
        <w:rPr>
          <w:lang w:val="en-BE" w:eastAsia="en-BE" w:bidi="ar-SA"/>
        </w:rPr>
        <w:t xml:space="preserve"> Сафронникова Н.А. умерла. По состоянию на 20 июля 2015 го</w:t>
      </w:r>
      <w:r>
        <w:rPr>
          <w:lang w:val="en-BE" w:eastAsia="en-BE" w:bidi="ar-SA"/>
        </w:rPr>
        <w:t xml:space="preserve">да задолженность по кредитному договору составила 403 834 руб. 41 коп. Согласно заключению о рыночной стоимости имущества от 11.06.2015 г., составленного оценщиком Титовым А.Н., рыночная стоимость автомобиля </w:t>
      </w:r>
      <w:r>
        <w:rPr>
          <w:rStyle w:val="cat-CarMakeModelgrp-30rplc-28"/>
          <w:lang w:val="en-BE" w:eastAsia="en-BE" w:bidi="ar-SA"/>
        </w:rPr>
        <w:t>марка автомобиля</w:t>
      </w:r>
      <w:r>
        <w:rPr>
          <w:lang w:val="en-BE" w:eastAsia="en-BE" w:bidi="ar-SA"/>
        </w:rPr>
        <w:t xml:space="preserve"> </w:t>
      </w:r>
      <w:r>
        <w:rPr>
          <w:rStyle w:val="cat-UserDefinedgrp-33rplc-29"/>
          <w:lang w:val="en-BE" w:eastAsia="en-BE" w:bidi="ar-SA"/>
        </w:rPr>
        <w:t>...</w:t>
      </w:r>
      <w:r>
        <w:rPr>
          <w:lang w:val="en-BE" w:eastAsia="en-BE" w:bidi="ar-SA"/>
        </w:rPr>
        <w:t>, 2012 года выпуска, идентиф</w:t>
      </w:r>
      <w:r>
        <w:rPr>
          <w:lang w:val="en-BE" w:eastAsia="en-BE" w:bidi="ar-SA"/>
        </w:rPr>
        <w:t xml:space="preserve">икационный № </w:t>
      </w:r>
      <w:r>
        <w:rPr>
          <w:rStyle w:val="cat-UserDefinedgrp-32rplc-30"/>
          <w:lang w:val="en-BE" w:eastAsia="en-BE" w:bidi="ar-SA"/>
        </w:rPr>
        <w:t>...</w:t>
      </w:r>
      <w:r>
        <w:rPr>
          <w:lang w:val="en-BE" w:eastAsia="en-BE" w:bidi="ar-SA"/>
        </w:rPr>
        <w:t xml:space="preserve"> составляет 400 000 рублей.</w:t>
      </w:r>
    </w:p>
    <w:p w14:paraId="6F52A4E6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по доверенности Слободчикова Н.В. в судебное заседание суда первой инстанции явилась, исковые требования поддержала в полном объеме.</w:t>
      </w:r>
    </w:p>
    <w:p w14:paraId="508D09E2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ответчика в судебное заседание не явился, о м</w:t>
      </w:r>
      <w:r>
        <w:rPr>
          <w:lang w:val="en-BE" w:eastAsia="en-BE" w:bidi="ar-SA"/>
        </w:rPr>
        <w:t>есте и времени проведения судебного заседания извещен надлежащим образом.</w:t>
      </w:r>
    </w:p>
    <w:p w14:paraId="4DC10688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постановлено указанное выше решение, об отмене которого просит представитель истца по доводам апелляционной жалобы, ссылаясь на нарушение норм материального и процессуального п</w:t>
      </w:r>
      <w:r>
        <w:rPr>
          <w:lang w:val="en-BE" w:eastAsia="en-BE" w:bidi="ar-SA"/>
        </w:rPr>
        <w:t>рава.</w:t>
      </w:r>
    </w:p>
    <w:p w14:paraId="01246AAC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в суд апелляционной инстанции не явились, о времени и месте рассмотрения дела извещены надлежащим образом, о причинах неявки не сообщили, с ходатайством об отложении судебного заседания не обращались, в связи с чем, коллегия полагает возможны</w:t>
      </w:r>
      <w:r>
        <w:rPr>
          <w:lang w:val="en-BE" w:eastAsia="en-BE" w:bidi="ar-SA"/>
        </w:rPr>
        <w:t>м рассмотреть дело в их отсутствие в соответствии со ст. 167 Гражданского процессуального кодекса Российской Федерации.</w:t>
      </w:r>
    </w:p>
    <w:p w14:paraId="6D1D0519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материалы дела, обсудив доводы апелляционной жалобы, судебная коллегия не находит оснований к отмене обжалуемого решения.</w:t>
      </w:r>
    </w:p>
    <w:p w14:paraId="0D598E44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</w:t>
      </w:r>
      <w:r>
        <w:rPr>
          <w:lang w:val="en-BE" w:eastAsia="en-BE" w:bidi="ar-SA"/>
        </w:rPr>
        <w:t>сно ст. 309, 310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</w:t>
      </w:r>
      <w:r>
        <w:rPr>
          <w:lang w:val="en-BE" w:eastAsia="en-BE" w:bidi="ar-SA"/>
        </w:rPr>
        <w:t xml:space="preserve"> с обычаями делового оборота или иными обычно предъявляемыми </w:t>
      </w:r>
      <w:r>
        <w:rPr>
          <w:lang w:val="en-BE" w:eastAsia="en-BE" w:bidi="ar-SA"/>
        </w:rPr>
        <w:lastRenderedPageBreak/>
        <w:t>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3FB38139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Гражданского ко</w:t>
      </w:r>
      <w:r>
        <w:rPr>
          <w:lang w:val="en-BE" w:eastAsia="en-BE" w:bidi="ar-SA"/>
        </w:rPr>
        <w:t>декса Российской Федерации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</w:t>
      </w:r>
      <w:r>
        <w:rPr>
          <w:lang w:val="en-BE" w:eastAsia="en-BE" w:bidi="ar-SA"/>
        </w:rPr>
        <w:t xml:space="preserve">ую сумму и уплатить проценты на неё. К отношениям по кредитному договору применяются правила, предусмотренные параграфом 1 главы 42 Гражданского кодекса Российской Федерации, если иное не предусмотрено правилами данного параграфа и не вытекает из существа </w:t>
      </w:r>
      <w:r>
        <w:rPr>
          <w:lang w:val="en-BE" w:eastAsia="en-BE" w:bidi="ar-SA"/>
        </w:rPr>
        <w:t>кредитного договора.</w:t>
      </w:r>
    </w:p>
    <w:p w14:paraId="64713C39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810 Гражданского кодекса Российской Федерации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</w:t>
      </w:r>
      <w:r>
        <w:rPr>
          <w:lang w:val="en-BE" w:eastAsia="en-BE" w:bidi="ar-SA"/>
        </w:rPr>
        <w:t>я возвратить займодавцу такую же сумму денег (сумму займа) или равное количество других полученных им вещей того же рода и качества. Заемщик обязан возвратить займодавцу полученную сумму займа в срок и в порядке, которые предусмотрены договором займа.</w:t>
      </w:r>
    </w:p>
    <w:p w14:paraId="672052B6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</w:t>
      </w:r>
      <w:r>
        <w:rPr>
          <w:lang w:val="en-BE" w:eastAsia="en-BE" w:bidi="ar-SA"/>
        </w:rPr>
        <w:t>ответствии с п. 2 ст. 811 Гражданского кодекса Российской Федерации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</w:t>
      </w:r>
      <w:r>
        <w:rPr>
          <w:lang w:val="en-BE" w:eastAsia="en-BE" w:bidi="ar-SA"/>
        </w:rPr>
        <w:t>вать досрочного возврата всей оставшейся суммы займа вместе с причитающимися процентами.</w:t>
      </w:r>
    </w:p>
    <w:p w14:paraId="5E12018F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пп. 1 п. 2 ст. 450 Гражданского кодекса Российской Федерации изменение или расторжение договора возможно при существенном нарушении договора другой стороной.</w:t>
      </w:r>
    </w:p>
    <w:p w14:paraId="73D2A4EF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Требование об изменении или расторжении договора может быть заявлено стороной в суд только после получения отказа другой стороны на предложение изменить или расторгнуть договор, либо неполучения ответа в срок, указанный в предложении или установленный зако</w:t>
      </w:r>
      <w:r>
        <w:rPr>
          <w:lang w:val="en-BE" w:eastAsia="en-BE" w:bidi="ar-SA"/>
        </w:rPr>
        <w:t>ном либо договором, а при его отсутствии в тридцатидневный срок.</w:t>
      </w:r>
    </w:p>
    <w:p w14:paraId="730E6ACB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  ст. 1175 Гражданского кодекса Российской Федерации, кредиторы наследодателя вправе предъявить свои требования к принявшим наследство наследникам в пределах сроков исковой давно</w:t>
      </w:r>
      <w:r>
        <w:rPr>
          <w:lang w:val="en-BE" w:eastAsia="en-BE" w:bidi="ar-SA"/>
        </w:rPr>
        <w:t>сти, установленных для соответствующих требований. До принятия наследства требования кредиторов могут быть предъявлены к исполнителю завещания или к наследственному имуществу.</w:t>
      </w:r>
    </w:p>
    <w:p w14:paraId="0B23E543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ст. 1151 Гражданского кодекса Российской Федерации, в случае, если отсутствуют</w:t>
      </w:r>
      <w:r>
        <w:rPr>
          <w:lang w:val="en-BE" w:eastAsia="en-BE" w:bidi="ar-SA"/>
        </w:rPr>
        <w:t xml:space="preserve"> наследники как по закону, так и по завещанию, либо никто из наследников не имеет права наследовать или все наследники отстранены от наследования </w:t>
      </w:r>
      <w:hyperlink r:id="rId7" w:history="1">
        <w:r>
          <w:rPr>
            <w:color w:val="0000EE"/>
            <w:lang w:val="en-BE" w:eastAsia="en-BE" w:bidi="ar-SA"/>
          </w:rPr>
          <w:t>(статья 1117)</w:t>
        </w:r>
      </w:hyperlink>
      <w:r>
        <w:rPr>
          <w:lang w:val="en-BE" w:eastAsia="en-BE" w:bidi="ar-SA"/>
        </w:rPr>
        <w:t xml:space="preserve">, либо никто из наследников не принял наследства, либо все наследники отказались от наследства и при этом никто из них не указал, что отказывается в пользу другого наследника </w:t>
      </w:r>
      <w:hyperlink r:id="rId8" w:history="1">
        <w:r>
          <w:rPr>
            <w:color w:val="0000EE"/>
            <w:lang w:val="en-BE" w:eastAsia="en-BE" w:bidi="ar-SA"/>
          </w:rPr>
          <w:t>(статья 1158)</w:t>
        </w:r>
      </w:hyperlink>
      <w:r>
        <w:rPr>
          <w:lang w:val="en-BE" w:eastAsia="en-BE" w:bidi="ar-SA"/>
        </w:rPr>
        <w:t>, имущество умершего считается выморочным.</w:t>
      </w:r>
    </w:p>
    <w:p w14:paraId="7B1EE406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Порядок наследования и учета выморочного имущества, переходящего в порядке наследования по закону в собственность </w:t>
      </w:r>
      <w:r>
        <w:rPr>
          <w:lang w:val="en-BE" w:eastAsia="en-BE" w:bidi="ar-SA"/>
        </w:rPr>
        <w:t>Российской Федерации, а также порядок передачи его в собственность субъектов Российской Федерации или в собственность муниципальных образований определяется законом.</w:t>
      </w:r>
    </w:p>
    <w:p w14:paraId="6B1EAC38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делу установлено, что 24 ноября 2012 года между ПАО «Сбербанк России» и Сафронниковой Н</w:t>
      </w:r>
      <w:r>
        <w:rPr>
          <w:lang w:val="en-BE" w:eastAsia="en-BE" w:bidi="ar-SA"/>
        </w:rPr>
        <w:t>.А. был заключен кредитный договор № 948213, согласно условиям которого, ПАО «Сбербанк России» обязалось предоставить на условиях срочности, платности и возвратности кредит в сумме 528 786, 35 рублей, на срок 60 месяцев, на приобретение автотранспортного с</w:t>
      </w:r>
      <w:r>
        <w:rPr>
          <w:lang w:val="en-BE" w:eastAsia="en-BE" w:bidi="ar-SA"/>
        </w:rPr>
        <w:t xml:space="preserve">редства </w:t>
      </w:r>
      <w:r>
        <w:rPr>
          <w:rStyle w:val="cat-CarMakeModelgrp-30rplc-38"/>
          <w:lang w:val="en-BE" w:eastAsia="en-BE" w:bidi="ar-SA"/>
        </w:rPr>
        <w:t>марка автомобиля</w:t>
      </w:r>
      <w:r>
        <w:rPr>
          <w:lang w:val="en-BE" w:eastAsia="en-BE" w:bidi="ar-SA"/>
        </w:rPr>
        <w:t xml:space="preserve"> </w:t>
      </w:r>
      <w:r>
        <w:rPr>
          <w:rStyle w:val="cat-UserDefinedgrp-33rplc-39"/>
          <w:lang w:val="en-BE" w:eastAsia="en-BE" w:bidi="ar-SA"/>
        </w:rPr>
        <w:t>...</w:t>
      </w:r>
      <w:r>
        <w:rPr>
          <w:lang w:val="en-BE" w:eastAsia="en-BE" w:bidi="ar-SA"/>
        </w:rPr>
        <w:t xml:space="preserve">, 2012 года выпуска, идентификационный № </w:t>
      </w:r>
      <w:r>
        <w:rPr>
          <w:rStyle w:val="cat-UserDefinedgrp-32rplc-40"/>
          <w:lang w:val="en-BE" w:eastAsia="en-BE" w:bidi="ar-SA"/>
        </w:rPr>
        <w:t>...</w:t>
      </w:r>
      <w:r>
        <w:rPr>
          <w:lang w:val="en-BE" w:eastAsia="en-BE" w:bidi="ar-SA"/>
        </w:rPr>
        <w:t>.</w:t>
      </w:r>
    </w:p>
    <w:p w14:paraId="12C1CBDE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обеспечение исполнения обязательств по кредитному договору, истец заключил с Сафронниковой Н.А. договор залога приобретаемого имущества № 948213/1 от 24.11.2012.</w:t>
      </w:r>
    </w:p>
    <w:p w14:paraId="2FB6D04D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обязательст</w:t>
      </w:r>
      <w:r>
        <w:rPr>
          <w:lang w:val="en-BE" w:eastAsia="en-BE" w:bidi="ar-SA"/>
        </w:rPr>
        <w:t>ва по предоставлению кредита были исполнены, сумма кредита в размере 528 786, 35 руб. была перечислена на счет заемщика, однако заемщик Сафронникова Н.А., не выполнила обязательства по кредитному договору, и не погасила сумму кредита, а также проценты за п</w:t>
      </w:r>
      <w:r>
        <w:rPr>
          <w:lang w:val="en-BE" w:eastAsia="en-BE" w:bidi="ar-SA"/>
        </w:rPr>
        <w:t>ользование кредитом, в связи с чем, на 20.07.2015 образовалась задолженность в размере 403 834 руб. 41 коп., из которых: 365 692,90 руб. - просроченная ссудная задолженность; 38 141, 51 руб. - просроченные проценты.</w:t>
      </w:r>
    </w:p>
    <w:p w14:paraId="1361ECD9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2.1 заключенного кредит</w:t>
      </w:r>
      <w:r>
        <w:rPr>
          <w:lang w:val="en-BE" w:eastAsia="en-BE" w:bidi="ar-SA"/>
        </w:rPr>
        <w:t>ного договора в качестве обеспечения своевременного и полного исполнения обязательств по договору заемщик предоставляет кредитору в залог транспортное средство.</w:t>
      </w:r>
    </w:p>
    <w:p w14:paraId="2EC7F043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5.1 договора залога, стороны договорились, что обращение взыскания на предмет з</w:t>
      </w:r>
      <w:r>
        <w:rPr>
          <w:lang w:val="en-BE" w:eastAsia="en-BE" w:bidi="ar-SA"/>
        </w:rPr>
        <w:t>алога осуществляется в порядке, установленном действующим законодательством Российской Федерации или в соответствии с соглашением о внесудебном порядке обращения взыскания на предмет залога.</w:t>
      </w:r>
    </w:p>
    <w:p w14:paraId="4759135B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свидетельству о смерти, заемщик по кредитному договору С</w:t>
      </w:r>
      <w:r>
        <w:rPr>
          <w:lang w:val="en-BE" w:eastAsia="en-BE" w:bidi="ar-SA"/>
        </w:rPr>
        <w:t xml:space="preserve">афронникова Н.А. умерла </w:t>
      </w:r>
      <w:r>
        <w:rPr>
          <w:rStyle w:val="cat-UserDefinedgrp-34rplc-50"/>
          <w:lang w:val="en-BE" w:eastAsia="en-BE" w:bidi="ar-SA"/>
        </w:rPr>
        <w:t>...</w:t>
      </w:r>
      <w:r>
        <w:rPr>
          <w:lang w:val="en-BE" w:eastAsia="en-BE" w:bidi="ar-SA"/>
        </w:rPr>
        <w:t xml:space="preserve"> года (л.д. 7).</w:t>
      </w:r>
    </w:p>
    <w:p w14:paraId="3F485BCE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сведениям представленным МО ГИБДД ТНРЭР № 1 ГУ МВД России по г. Москве транспортное средство </w:t>
      </w:r>
      <w:r>
        <w:rPr>
          <w:rStyle w:val="cat-CarMakeModelgrp-30rplc-54"/>
          <w:lang w:val="en-BE" w:eastAsia="en-BE" w:bidi="ar-SA"/>
        </w:rPr>
        <w:t>марка автомобиля</w:t>
      </w:r>
      <w:r>
        <w:rPr>
          <w:lang w:val="en-BE" w:eastAsia="en-BE" w:bidi="ar-SA"/>
        </w:rPr>
        <w:t xml:space="preserve"> </w:t>
      </w:r>
      <w:r>
        <w:rPr>
          <w:rStyle w:val="cat-UserDefinedgrp-33rplc-55"/>
          <w:lang w:val="en-BE" w:eastAsia="en-BE" w:bidi="ar-SA"/>
        </w:rPr>
        <w:t>...</w:t>
      </w:r>
      <w:r>
        <w:rPr>
          <w:lang w:val="en-BE" w:eastAsia="en-BE" w:bidi="ar-SA"/>
        </w:rPr>
        <w:t xml:space="preserve">, 2012 года выпуска, идентификационный № </w:t>
      </w:r>
      <w:r>
        <w:rPr>
          <w:rStyle w:val="cat-UserDefinedgrp-32rplc-56"/>
          <w:lang w:val="en-BE" w:eastAsia="en-BE" w:bidi="ar-SA"/>
        </w:rPr>
        <w:t>...</w:t>
      </w:r>
      <w:r>
        <w:rPr>
          <w:lang w:val="en-BE" w:eastAsia="en-BE" w:bidi="ar-SA"/>
        </w:rPr>
        <w:t xml:space="preserve">, </w:t>
      </w:r>
      <w:r>
        <w:rPr>
          <w:rStyle w:val="cat-CarNumbergrp-31rplc-57"/>
          <w:lang w:val="en-BE" w:eastAsia="en-BE" w:bidi="ar-SA"/>
        </w:rPr>
        <w:t>регистрационный знак ТС</w:t>
      </w:r>
      <w:r>
        <w:rPr>
          <w:lang w:val="en-BE" w:eastAsia="en-BE" w:bidi="ar-SA"/>
        </w:rPr>
        <w:t xml:space="preserve"> состоит на регистраци</w:t>
      </w:r>
      <w:r>
        <w:rPr>
          <w:lang w:val="en-BE" w:eastAsia="en-BE" w:bidi="ar-SA"/>
        </w:rPr>
        <w:t>онном учете, собственником автомобиля является Сафронникова Н.А.</w:t>
      </w:r>
    </w:p>
    <w:p w14:paraId="55F6CE31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сведениям, предоставленным Московской городской нотариальной палаты наследственного дела к имуществу умершей Сафронниковой Н.А. не открывалось.</w:t>
      </w:r>
    </w:p>
    <w:p w14:paraId="78511E44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Отказывая в удовлетворения исковых тре</w:t>
      </w:r>
      <w:r>
        <w:rPr>
          <w:lang w:val="en-BE" w:eastAsia="en-BE" w:bidi="ar-SA"/>
        </w:rPr>
        <w:t>бований ПАО «Сбербанк России», суд первой инстанции исходил из того, что доказательствами не подтверждено, что автотранспортное средство в установленном порядке как выморочное имущество перешло в собственность Российской Федерации.</w:t>
      </w:r>
    </w:p>
    <w:p w14:paraId="5B030931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Данный вывод является пр</w:t>
      </w:r>
      <w:r>
        <w:rPr>
          <w:lang w:val="en-BE" w:eastAsia="en-BE" w:bidi="ar-SA"/>
        </w:rPr>
        <w:t>авильным, поскольку только лишь наличие сведений о регистрации транспортного средства за умершим должником не достаточно для удовлетворения требований кредитора о взыскании задолженности с Российской Федерации.</w:t>
      </w:r>
    </w:p>
    <w:p w14:paraId="1E848B9F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материалах дела отсутствуют сведения о том,</w:t>
      </w:r>
      <w:r>
        <w:rPr>
          <w:lang w:val="en-BE" w:eastAsia="en-BE" w:bidi="ar-SA"/>
        </w:rPr>
        <w:t xml:space="preserve"> что на момент смерти заемщика указанный автомобиль фактически существовал, сам по себе факт записи в карточке учета транспортных средств в ГИБДД о регистрации автомобиля на имя Сафронниковой Н.А. не  может свидетельствовать о фактическом наличии данного и</w:t>
      </w:r>
      <w:r>
        <w:rPr>
          <w:lang w:val="en-BE" w:eastAsia="en-BE" w:bidi="ar-SA"/>
        </w:rPr>
        <w:t>мущества, и соответственно, нахождение его в обладании Российской Федерации не подтверждено.</w:t>
      </w:r>
    </w:p>
    <w:p w14:paraId="5DED1F0A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в силу положений ст. 1175 Гражданского кодекса Российской Федерации объем ответственности Российской Федерации как наследника по закону выморочного иму</w:t>
      </w:r>
      <w:r>
        <w:rPr>
          <w:lang w:val="en-BE" w:eastAsia="en-BE" w:bidi="ar-SA"/>
        </w:rPr>
        <w:t xml:space="preserve">щества ограничивается стоимостью перешедшего наследственного имущества. </w:t>
      </w:r>
    </w:p>
    <w:p w14:paraId="6CCC9906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Вместе с тем, доказательств, отвечающих требованиям  ст. ст. 59, 60 ГПК РФ  и свидетельствующих о том, что стоимость перешедшего к ФАУГИ имущества-  автомобиля </w:t>
      </w:r>
      <w:r>
        <w:rPr>
          <w:rStyle w:val="cat-CarMakeModelgrp-30rplc-63"/>
          <w:lang w:val="en-BE" w:eastAsia="en-BE" w:bidi="ar-SA"/>
        </w:rPr>
        <w:t>марка автомобиля</w:t>
      </w:r>
      <w:r>
        <w:rPr>
          <w:lang w:val="en-BE" w:eastAsia="en-BE" w:bidi="ar-SA"/>
        </w:rPr>
        <w:t xml:space="preserve"> </w:t>
      </w:r>
      <w:r>
        <w:rPr>
          <w:rStyle w:val="cat-UserDefinedgrp-33rplc-64"/>
          <w:lang w:val="en-BE" w:eastAsia="en-BE" w:bidi="ar-SA"/>
        </w:rPr>
        <w:t>...</w:t>
      </w:r>
      <w:r>
        <w:rPr>
          <w:lang w:val="en-BE" w:eastAsia="en-BE" w:bidi="ar-SA"/>
        </w:rPr>
        <w:t>, 2</w:t>
      </w:r>
      <w:r>
        <w:rPr>
          <w:lang w:val="en-BE" w:eastAsia="en-BE" w:bidi="ar-SA"/>
        </w:rPr>
        <w:t>012 года выпуска, составляет  сумму  в размере 403834,41 руб.,  в суд первой инстанции  представлено не было, в то время, как  в  силу  п. 1  ст. 56 ГПК РФ  данное бремя доказывания  в  силу   закона  возложено именно на истца. При этом,  материалы дела  н</w:t>
      </w:r>
      <w:r>
        <w:rPr>
          <w:lang w:val="en-BE" w:eastAsia="en-BE" w:bidi="ar-SA"/>
        </w:rPr>
        <w:t xml:space="preserve">е содержат доказательств, свидетельствующих о том, что  истец  в  силу  ст. 35  ГПК РФ  в контексте с п. 1  ст. 57   ГПК РФ заявлял ходатайства суду    о  содействии  в  собирании  и истребовании   необходимых доказательств.  </w:t>
      </w:r>
    </w:p>
    <w:p w14:paraId="00176595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имеющимися док</w:t>
      </w:r>
      <w:r>
        <w:rPr>
          <w:lang w:val="en-BE" w:eastAsia="en-BE" w:bidi="ar-SA"/>
        </w:rPr>
        <w:t xml:space="preserve">азательствами не подтверждено, что транспортное средство, зарегистрированное за Сафронниковой Н.А., в установленном порядке как выморочное имущество перешло в собственность Российской Федерации, фактически существует и достоверно определена его стоимость, </w:t>
      </w:r>
      <w:r>
        <w:rPr>
          <w:lang w:val="en-BE" w:eastAsia="en-BE" w:bidi="ar-SA"/>
        </w:rPr>
        <w:t xml:space="preserve">в связи с чем судом правомерно отказано в  удовлетворении исковых требований. </w:t>
      </w:r>
    </w:p>
    <w:p w14:paraId="1CA0B5E9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апелляционной жалобы о том, что судом не установлено, имелось ли на дату смерти у Сафронниковой Н.А. недвижимое имущество, не может служить основанием к отмене решения.</w:t>
      </w:r>
    </w:p>
    <w:p w14:paraId="5C6F68A3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</w:t>
      </w:r>
      <w:r>
        <w:rPr>
          <w:lang w:val="en-BE" w:eastAsia="en-BE" w:bidi="ar-SA"/>
        </w:rPr>
        <w:t>гласно ст. 1151 ГК РФ в порядке наследования по закону в собственность городского или сельского поселения, муниципального района (в части межселенных территорий) либо городского округа переходит следующее выморочное имущество, находящееся на соответствующе</w:t>
      </w:r>
      <w:r>
        <w:rPr>
          <w:lang w:val="en-BE" w:eastAsia="en-BE" w:bidi="ar-SA"/>
        </w:rPr>
        <w:t>й территории: жилое помещение; земельный участок, а также расположенные на нем здания, сооружения, иные объекты недвижимого имущества; доля в праве общей долевой собственности на указанные в абзацах втором и третьем настоящего пункта объекты недвижимого им</w:t>
      </w:r>
      <w:r>
        <w:rPr>
          <w:lang w:val="en-BE" w:eastAsia="en-BE" w:bidi="ar-SA"/>
        </w:rPr>
        <w:t xml:space="preserve">ущества. </w:t>
      </w:r>
    </w:p>
    <w:p w14:paraId="390E1726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указанные объекты расположены в субъекте Российской Федерации - городе федерального значения Москве, Санкт-Петербурге или Севастополе, они переходят в собственность такого субъекта Российской Федерации.</w:t>
      </w:r>
    </w:p>
    <w:p w14:paraId="6C9ACFCA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в случае наличия у Сафр</w:t>
      </w:r>
      <w:r>
        <w:rPr>
          <w:lang w:val="en-BE" w:eastAsia="en-BE" w:bidi="ar-SA"/>
        </w:rPr>
        <w:t>онниковой Н.А. недвижимого имущества, в силу указанной нормы иск не может быть предъявлен к ФАУГИ, а в соответствии со ст. 327 ГПК РФ в апелляционной жалобе не применяются правила о замене ненадлежащего ответчика.</w:t>
      </w:r>
    </w:p>
    <w:p w14:paraId="0A226110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Довод апелляционной жалобы о том, что суд </w:t>
      </w:r>
      <w:r>
        <w:rPr>
          <w:lang w:val="en-BE" w:eastAsia="en-BE" w:bidi="ar-SA"/>
        </w:rPr>
        <w:t>не выяснил основания перехода собственности от Сафронниковой Н.А. к иным лицам, что подтверждается распечаткой с сайта Госавтоинспекции, также не может служить основанием к отмене решения, поскольку в силу ст. ст. 56, 57  ГПК РФ доказательства представляют</w:t>
      </w:r>
      <w:r>
        <w:rPr>
          <w:lang w:val="en-BE" w:eastAsia="en-BE" w:bidi="ar-SA"/>
        </w:rPr>
        <w:t>ся сторонами, однако в суд первой инстанции такие доказательства представлены не были. Кроме того, если автомобиль находится в собственности физического лица, то он явно не может быть отнесен к выморочному имуществу, а потому ФАУГИ и в данном случае не мож</w:t>
      </w:r>
      <w:r>
        <w:rPr>
          <w:lang w:val="en-BE" w:eastAsia="en-BE" w:bidi="ar-SA"/>
        </w:rPr>
        <w:t>ет быть признан надлежащим ответчиком.</w:t>
      </w:r>
    </w:p>
    <w:p w14:paraId="63F24CD8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решение суда является законным и обоснованным, оснований к его отмене по доводам апелляционной жалобы не усматривается.</w:t>
      </w:r>
    </w:p>
    <w:p w14:paraId="617AF6D9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Нарушений норм процессуального и материального права, влекущих отмену </w:t>
      </w:r>
      <w:r>
        <w:rPr>
          <w:lang w:val="en-BE" w:eastAsia="en-BE" w:bidi="ar-SA"/>
        </w:rPr>
        <w:t>решения, судом допущено не было.</w:t>
      </w:r>
    </w:p>
    <w:p w14:paraId="455CD0C0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решение суда является законным и обоснованным, оснований к его отмене по доводам апелляционной жалобы не усматривается.</w:t>
      </w:r>
    </w:p>
    <w:p w14:paraId="14C14180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ст.ст.328, 329 Гражданского процесс</w:t>
      </w:r>
      <w:r>
        <w:rPr>
          <w:lang w:val="en-BE" w:eastAsia="en-BE" w:bidi="ar-SA"/>
        </w:rPr>
        <w:t>уального кодекса Российской Федерации, судебная коллегия-</w:t>
      </w:r>
    </w:p>
    <w:p w14:paraId="54FA869E" w14:textId="77777777" w:rsidR="00000000" w:rsidRDefault="004B21B0">
      <w:pPr>
        <w:ind w:firstLine="709"/>
        <w:jc w:val="both"/>
        <w:rPr>
          <w:lang w:val="en-BE" w:eastAsia="en-BE" w:bidi="ar-SA"/>
        </w:rPr>
      </w:pPr>
    </w:p>
    <w:p w14:paraId="2A0B414D" w14:textId="77777777" w:rsidR="00000000" w:rsidRDefault="004B21B0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ОПРЕДЕЛИЛА:</w:t>
      </w:r>
    </w:p>
    <w:p w14:paraId="0CD50204" w14:textId="77777777" w:rsidR="00000000" w:rsidRDefault="004B21B0">
      <w:pPr>
        <w:ind w:firstLine="709"/>
        <w:jc w:val="both"/>
        <w:rPr>
          <w:lang w:val="en-BE" w:eastAsia="en-BE" w:bidi="ar-SA"/>
        </w:rPr>
      </w:pPr>
    </w:p>
    <w:p w14:paraId="62BAFB2A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Мещанского районного суда г. Москвы от 14 июня 2017 года  оставить без изменения, апелляционную жалобу  ПАО «Сбербанк России» - без удовлетворения.</w:t>
      </w:r>
    </w:p>
    <w:p w14:paraId="3A425E70" w14:textId="77777777" w:rsidR="00000000" w:rsidRDefault="004B21B0">
      <w:pPr>
        <w:ind w:firstLine="709"/>
        <w:jc w:val="both"/>
        <w:rPr>
          <w:lang w:val="en-BE" w:eastAsia="en-BE" w:bidi="ar-SA"/>
        </w:rPr>
      </w:pPr>
    </w:p>
    <w:p w14:paraId="1F2DC2E9" w14:textId="77777777" w:rsidR="00000000" w:rsidRDefault="004B21B0">
      <w:pPr>
        <w:ind w:firstLine="709"/>
        <w:jc w:val="both"/>
        <w:rPr>
          <w:lang w:val="en-BE" w:eastAsia="en-BE" w:bidi="ar-SA"/>
        </w:rPr>
      </w:pPr>
    </w:p>
    <w:p w14:paraId="399B1E6A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Председательствующий: </w:t>
      </w:r>
    </w:p>
    <w:p w14:paraId="0EEAA413" w14:textId="77777777" w:rsidR="00000000" w:rsidRDefault="004B21B0">
      <w:pPr>
        <w:ind w:firstLine="709"/>
        <w:jc w:val="both"/>
        <w:rPr>
          <w:lang w:val="en-BE" w:eastAsia="en-BE" w:bidi="ar-SA"/>
        </w:rPr>
      </w:pPr>
    </w:p>
    <w:p w14:paraId="5AA51F07" w14:textId="77777777" w:rsidR="00000000" w:rsidRDefault="004B21B0">
      <w:pPr>
        <w:ind w:firstLine="709"/>
        <w:jc w:val="both"/>
        <w:rPr>
          <w:lang w:val="en-BE" w:eastAsia="en-BE" w:bidi="ar-SA"/>
        </w:rPr>
      </w:pPr>
    </w:p>
    <w:p w14:paraId="0BA43D3E" w14:textId="77777777" w:rsidR="00000000" w:rsidRDefault="004B21B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</w:t>
      </w:r>
      <w:r>
        <w:rPr>
          <w:lang w:val="en-BE" w:eastAsia="en-BE" w:bidi="ar-SA"/>
        </w:rPr>
        <w:t>удьи:</w:t>
      </w:r>
    </w:p>
    <w:p w14:paraId="36CE2401" w14:textId="77777777" w:rsidR="00000000" w:rsidRDefault="004B21B0">
      <w:pPr>
        <w:ind w:firstLine="709"/>
        <w:jc w:val="both"/>
        <w:rPr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F9BC0" w14:textId="77777777" w:rsidR="00000000" w:rsidRDefault="004B21B0">
      <w:r>
        <w:separator/>
      </w:r>
    </w:p>
  </w:endnote>
  <w:endnote w:type="continuationSeparator" w:id="0">
    <w:p w14:paraId="3C6F5B7B" w14:textId="77777777" w:rsidR="00000000" w:rsidRDefault="004B2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76CA9" w14:textId="77777777" w:rsidR="00000000" w:rsidRDefault="004B21B0">
    <w:pPr>
      <w:jc w:val="right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0E306198" w14:textId="77777777" w:rsidR="00000000" w:rsidRDefault="004B21B0">
    <w:pPr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801D9" w14:textId="77777777" w:rsidR="00000000" w:rsidRDefault="004B21B0">
      <w:r>
        <w:separator/>
      </w:r>
    </w:p>
  </w:footnote>
  <w:footnote w:type="continuationSeparator" w:id="0">
    <w:p w14:paraId="17BF767E" w14:textId="77777777" w:rsidR="00000000" w:rsidRDefault="004B2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21B0"/>
    <w:rsid w:val="004B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19E6CFD"/>
  <w15:chartTrackingRefBased/>
  <w15:docId w15:val="{0564AF90-9DDB-4F0A-B316-0F9D0273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CarMakeModelgrp-30rplc-16">
    <w:name w:val="cat-CarMakeModel grp-30 rplc-16"/>
    <w:basedOn w:val="a0"/>
  </w:style>
  <w:style w:type="character" w:customStyle="1" w:styleId="cat-UserDefinedgrp-33rplc-17">
    <w:name w:val="cat-UserDefined grp-33 rplc-17"/>
    <w:basedOn w:val="a0"/>
  </w:style>
  <w:style w:type="character" w:customStyle="1" w:styleId="cat-UserDefinedgrp-32rplc-18">
    <w:name w:val="cat-UserDefined grp-32 rplc-18"/>
    <w:basedOn w:val="a0"/>
  </w:style>
  <w:style w:type="character" w:customStyle="1" w:styleId="cat-UserDefinedgrp-5rplc-22">
    <w:name w:val="cat-UserDefined grp-5 rplc-22"/>
    <w:basedOn w:val="a0"/>
  </w:style>
  <w:style w:type="character" w:customStyle="1" w:styleId="cat-CarMakeModelgrp-30rplc-28">
    <w:name w:val="cat-CarMakeModel grp-30 rplc-28"/>
    <w:basedOn w:val="a0"/>
  </w:style>
  <w:style w:type="character" w:customStyle="1" w:styleId="cat-UserDefinedgrp-33rplc-29">
    <w:name w:val="cat-UserDefined grp-33 rplc-29"/>
    <w:basedOn w:val="a0"/>
  </w:style>
  <w:style w:type="character" w:customStyle="1" w:styleId="cat-UserDefinedgrp-32rplc-30">
    <w:name w:val="cat-UserDefined grp-32 rplc-30"/>
    <w:basedOn w:val="a0"/>
  </w:style>
  <w:style w:type="character" w:customStyle="1" w:styleId="cat-CarMakeModelgrp-30rplc-38">
    <w:name w:val="cat-CarMakeModel grp-30 rplc-38"/>
    <w:basedOn w:val="a0"/>
  </w:style>
  <w:style w:type="character" w:customStyle="1" w:styleId="cat-UserDefinedgrp-33rplc-39">
    <w:name w:val="cat-UserDefined grp-33 rplc-39"/>
    <w:basedOn w:val="a0"/>
  </w:style>
  <w:style w:type="character" w:customStyle="1" w:styleId="cat-UserDefinedgrp-32rplc-40">
    <w:name w:val="cat-UserDefined grp-32 rplc-40"/>
    <w:basedOn w:val="a0"/>
  </w:style>
  <w:style w:type="character" w:customStyle="1" w:styleId="cat-UserDefinedgrp-34rplc-50">
    <w:name w:val="cat-UserDefined grp-34 rplc-50"/>
    <w:basedOn w:val="a0"/>
  </w:style>
  <w:style w:type="character" w:customStyle="1" w:styleId="cat-CarMakeModelgrp-30rplc-54">
    <w:name w:val="cat-CarMakeModel grp-30 rplc-54"/>
    <w:basedOn w:val="a0"/>
  </w:style>
  <w:style w:type="character" w:customStyle="1" w:styleId="cat-UserDefinedgrp-33rplc-55">
    <w:name w:val="cat-UserDefined grp-33 rplc-55"/>
    <w:basedOn w:val="a0"/>
  </w:style>
  <w:style w:type="character" w:customStyle="1" w:styleId="cat-UserDefinedgrp-32rplc-56">
    <w:name w:val="cat-UserDefined grp-32 rplc-56"/>
    <w:basedOn w:val="a0"/>
  </w:style>
  <w:style w:type="character" w:customStyle="1" w:styleId="cat-CarNumbergrp-31rplc-57">
    <w:name w:val="cat-CarNumber grp-31 rplc-57"/>
    <w:basedOn w:val="a0"/>
  </w:style>
  <w:style w:type="character" w:customStyle="1" w:styleId="cat-CarMakeModelgrp-30rplc-63">
    <w:name w:val="cat-CarMakeModel grp-30 rplc-63"/>
    <w:basedOn w:val="a0"/>
  </w:style>
  <w:style w:type="character" w:customStyle="1" w:styleId="cat-UserDefinedgrp-33rplc-64">
    <w:name w:val="cat-UserDefined grp-33 rplc-6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39ADD02AA8E6029DAFAB562F95F3E2171858A706D7A0466560FE9C5FDB5FE6C23D0A92F349F3B08T3tEN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39ADD02AA8E6029DAFAB562F95F3E2171858A706D7A0466560FE9C5FDB5FE6C23D0A92F349F390ET3t7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1987</Words>
  <Characters>11332</Characters>
  <Application>Microsoft Office Word</Application>
  <DocSecurity>0</DocSecurity>
  <Lines>94</Lines>
  <Paragraphs>26</Paragraphs>
  <ScaleCrop>false</ScaleCrop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