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1DD3" w14:textId="77777777" w:rsidR="00045AD2" w:rsidRPr="004579A3" w:rsidRDefault="00CB6B9E" w:rsidP="00045AD2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4579A3">
        <w:rPr>
          <w:sz w:val="23"/>
          <w:szCs w:val="23"/>
        </w:rPr>
        <w:t>№ 4г/8-</w:t>
      </w:r>
      <w:r>
        <w:rPr>
          <w:sz w:val="23"/>
          <w:szCs w:val="23"/>
        </w:rPr>
        <w:t>11210</w:t>
      </w:r>
    </w:p>
    <w:p w14:paraId="21420BD5" w14:textId="77777777" w:rsidR="00045AD2" w:rsidRPr="004579A3" w:rsidRDefault="00CB6B9E" w:rsidP="00045AD2">
      <w:pPr>
        <w:pStyle w:val="TimesNewRoman"/>
        <w:rPr>
          <w:sz w:val="23"/>
          <w:szCs w:val="23"/>
        </w:rPr>
      </w:pPr>
      <w:r w:rsidRPr="004579A3">
        <w:rPr>
          <w:noProof/>
          <w:sz w:val="23"/>
          <w:szCs w:val="23"/>
        </w:rPr>
        <w:pict w14:anchorId="2C7276E9"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416.15pt;margin-top:-36.7pt;width:69.85pt;height:23.5pt;z-index:251657728" filled="f" stroked="f">
            <v:textbox>
              <w:txbxContent>
                <w:p w14:paraId="3E489393" w14:textId="77777777" w:rsidR="00045AD2" w:rsidRPr="001E33E1" w:rsidRDefault="00CB6B9E" w:rsidP="00045AD2">
                  <w:pPr>
                    <w:jc w:val="righ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7DCCBE98" w14:textId="77777777" w:rsidR="00045AD2" w:rsidRPr="004579A3" w:rsidRDefault="00CB6B9E" w:rsidP="00045AD2">
      <w:pPr>
        <w:pStyle w:val="TimesNewRoman"/>
        <w:jc w:val="center"/>
        <w:rPr>
          <w:b/>
          <w:sz w:val="23"/>
          <w:szCs w:val="23"/>
        </w:rPr>
      </w:pPr>
      <w:r w:rsidRPr="004579A3">
        <w:rPr>
          <w:b/>
          <w:sz w:val="23"/>
          <w:szCs w:val="23"/>
        </w:rPr>
        <w:t>О П Р Е Д Е Л Е Н И Е</w:t>
      </w:r>
    </w:p>
    <w:p w14:paraId="32B8D3B7" w14:textId="77777777" w:rsidR="00045AD2" w:rsidRPr="004579A3" w:rsidRDefault="00CB6B9E" w:rsidP="00045AD2">
      <w:pPr>
        <w:pStyle w:val="TimesNewRoman"/>
        <w:rPr>
          <w:sz w:val="23"/>
          <w:szCs w:val="23"/>
        </w:rPr>
      </w:pPr>
    </w:p>
    <w:p w14:paraId="779EEF1D" w14:textId="77777777" w:rsidR="00045AD2" w:rsidRPr="000C2845" w:rsidRDefault="00CB6B9E" w:rsidP="00045AD2">
      <w:pPr>
        <w:pStyle w:val="TimesNewRoman"/>
        <w:rPr>
          <w:szCs w:val="24"/>
        </w:rPr>
      </w:pPr>
      <w:r w:rsidRPr="004579A3">
        <w:rPr>
          <w:sz w:val="23"/>
          <w:szCs w:val="23"/>
        </w:rPr>
        <w:t>г</w:t>
      </w:r>
      <w:r w:rsidRPr="000C2845">
        <w:rPr>
          <w:szCs w:val="24"/>
        </w:rPr>
        <w:t>.</w:t>
      </w:r>
      <w:r>
        <w:rPr>
          <w:szCs w:val="24"/>
        </w:rPr>
        <w:t xml:space="preserve"> 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</w:t>
      </w:r>
      <w:r>
        <w:rPr>
          <w:szCs w:val="24"/>
        </w:rPr>
        <w:t xml:space="preserve"> </w:t>
      </w:r>
      <w:r>
        <w:rPr>
          <w:szCs w:val="24"/>
        </w:rPr>
        <w:t>05 сентября</w:t>
      </w:r>
      <w:r>
        <w:rPr>
          <w:szCs w:val="24"/>
        </w:rPr>
        <w:t xml:space="preserve"> 2018</w:t>
      </w:r>
      <w:r w:rsidRPr="000C2845">
        <w:rPr>
          <w:szCs w:val="24"/>
        </w:rPr>
        <w:t xml:space="preserve"> </w:t>
      </w:r>
      <w:r w:rsidRPr="000C2845">
        <w:rPr>
          <w:szCs w:val="24"/>
        </w:rPr>
        <w:t>года</w:t>
      </w:r>
    </w:p>
    <w:p w14:paraId="2748315C" w14:textId="77777777" w:rsidR="00045AD2" w:rsidRPr="000C2845" w:rsidRDefault="00CB6B9E" w:rsidP="00045AD2">
      <w:pPr>
        <w:pStyle w:val="TimesNewRoman"/>
        <w:rPr>
          <w:szCs w:val="24"/>
        </w:rPr>
      </w:pPr>
    </w:p>
    <w:p w14:paraId="179A59C9" w14:textId="77777777" w:rsidR="00045AD2" w:rsidRPr="000C2845" w:rsidRDefault="00CB6B9E" w:rsidP="00487534">
      <w:pPr>
        <w:pStyle w:val="TimesNewRoman"/>
        <w:ind w:firstLine="709"/>
        <w:rPr>
          <w:szCs w:val="24"/>
        </w:rPr>
      </w:pPr>
      <w:r w:rsidRPr="00A03D73">
        <w:rPr>
          <w:szCs w:val="24"/>
        </w:rPr>
        <w:t xml:space="preserve">Судья Московского городского суда </w:t>
      </w:r>
      <w:r>
        <w:rPr>
          <w:szCs w:val="24"/>
        </w:rPr>
        <w:t>Аванесова Г.А.</w:t>
      </w:r>
      <w:r w:rsidRPr="00A03D73">
        <w:rPr>
          <w:szCs w:val="24"/>
        </w:rPr>
        <w:t>, рассмотрев кассационную жалобу</w:t>
      </w:r>
      <w:r>
        <w:rPr>
          <w:szCs w:val="24"/>
        </w:rPr>
        <w:t xml:space="preserve"> </w:t>
      </w:r>
      <w:r>
        <w:rPr>
          <w:szCs w:val="24"/>
        </w:rPr>
        <w:t>Попроцкого И.Я.</w:t>
      </w:r>
      <w:r>
        <w:rPr>
          <w:szCs w:val="24"/>
        </w:rPr>
        <w:t>, поступившую</w:t>
      </w:r>
      <w:r>
        <w:rPr>
          <w:szCs w:val="24"/>
        </w:rPr>
        <w:t xml:space="preserve"> </w:t>
      </w:r>
      <w:r>
        <w:rPr>
          <w:szCs w:val="24"/>
        </w:rPr>
        <w:t>14 августа</w:t>
      </w:r>
      <w:r>
        <w:rPr>
          <w:szCs w:val="24"/>
        </w:rPr>
        <w:t xml:space="preserve"> </w:t>
      </w:r>
      <w:r>
        <w:rPr>
          <w:szCs w:val="24"/>
        </w:rPr>
        <w:t>2018</w:t>
      </w:r>
      <w:r w:rsidRPr="00A03D73">
        <w:rPr>
          <w:szCs w:val="24"/>
        </w:rPr>
        <w:t xml:space="preserve"> года, на решение</w:t>
      </w:r>
      <w:r>
        <w:rPr>
          <w:szCs w:val="24"/>
        </w:rPr>
        <w:t xml:space="preserve"> </w:t>
      </w:r>
      <w:r>
        <w:rPr>
          <w:szCs w:val="24"/>
        </w:rPr>
        <w:t>Гагаринского</w:t>
      </w:r>
      <w:r>
        <w:rPr>
          <w:szCs w:val="24"/>
        </w:rPr>
        <w:t xml:space="preserve"> </w:t>
      </w:r>
      <w:r>
        <w:rPr>
          <w:szCs w:val="24"/>
        </w:rPr>
        <w:t>районн</w:t>
      </w:r>
      <w:r>
        <w:rPr>
          <w:szCs w:val="24"/>
        </w:rPr>
        <w:t xml:space="preserve">ого суда города Москвы от </w:t>
      </w:r>
      <w:r>
        <w:rPr>
          <w:szCs w:val="24"/>
        </w:rPr>
        <w:t xml:space="preserve">28 сентября </w:t>
      </w:r>
      <w:r>
        <w:rPr>
          <w:szCs w:val="24"/>
        </w:rPr>
        <w:t>2017</w:t>
      </w:r>
      <w:r>
        <w:rPr>
          <w:szCs w:val="24"/>
        </w:rPr>
        <w:t xml:space="preserve"> года и апелляционное определение судебной коллегии по гражданским делам Московского городского суда от </w:t>
      </w:r>
      <w:r>
        <w:rPr>
          <w:szCs w:val="24"/>
        </w:rPr>
        <w:t>16 марта</w:t>
      </w:r>
      <w:r>
        <w:rPr>
          <w:szCs w:val="24"/>
        </w:rPr>
        <w:t xml:space="preserve"> </w:t>
      </w:r>
      <w:r>
        <w:rPr>
          <w:szCs w:val="24"/>
        </w:rPr>
        <w:t xml:space="preserve">                </w:t>
      </w:r>
      <w:r>
        <w:rPr>
          <w:szCs w:val="24"/>
        </w:rPr>
        <w:t>2018</w:t>
      </w:r>
      <w:r>
        <w:rPr>
          <w:szCs w:val="24"/>
        </w:rPr>
        <w:t xml:space="preserve"> года по гражданскому делу по иску</w:t>
      </w:r>
      <w:r>
        <w:rPr>
          <w:szCs w:val="24"/>
        </w:rPr>
        <w:t xml:space="preserve"> Попроцкого </w:t>
      </w:r>
      <w:r>
        <w:rPr>
          <w:szCs w:val="24"/>
        </w:rPr>
        <w:t>И.Я.</w:t>
      </w:r>
      <w:r>
        <w:rPr>
          <w:szCs w:val="24"/>
        </w:rPr>
        <w:t xml:space="preserve"> к ПАО «Сбербанк России» о взыс</w:t>
      </w:r>
      <w:r>
        <w:rPr>
          <w:szCs w:val="24"/>
        </w:rPr>
        <w:t>кании денежных средств</w:t>
      </w:r>
      <w:r>
        <w:rPr>
          <w:szCs w:val="24"/>
        </w:rPr>
        <w:t>,</w:t>
      </w:r>
    </w:p>
    <w:p w14:paraId="177332D0" w14:textId="77777777" w:rsidR="00045AD2" w:rsidRPr="000C2845" w:rsidRDefault="00CB6B9E" w:rsidP="006F7167">
      <w:pPr>
        <w:pStyle w:val="TimesNewRoman"/>
        <w:ind w:firstLine="709"/>
        <w:rPr>
          <w:szCs w:val="24"/>
        </w:rPr>
      </w:pPr>
    </w:p>
    <w:p w14:paraId="39711148" w14:textId="77777777" w:rsidR="00045AD2" w:rsidRPr="000C2845" w:rsidRDefault="00CB6B9E" w:rsidP="006F7167">
      <w:pPr>
        <w:pStyle w:val="TimesNewRoman"/>
        <w:ind w:firstLine="709"/>
        <w:jc w:val="center"/>
        <w:rPr>
          <w:b/>
          <w:szCs w:val="24"/>
        </w:rPr>
      </w:pPr>
      <w:r w:rsidRPr="000C2845">
        <w:rPr>
          <w:b/>
          <w:szCs w:val="24"/>
        </w:rPr>
        <w:t>у с т а н о в и л:</w:t>
      </w:r>
    </w:p>
    <w:p w14:paraId="41B0C814" w14:textId="77777777" w:rsidR="00996DC4" w:rsidRPr="009206F1" w:rsidRDefault="00CB6B9E" w:rsidP="009206F1">
      <w:pPr>
        <w:pStyle w:val="TimesNewRoman"/>
        <w:ind w:firstLine="709"/>
        <w:rPr>
          <w:szCs w:val="24"/>
        </w:rPr>
      </w:pPr>
      <w:r>
        <w:rPr>
          <w:szCs w:val="24"/>
        </w:rPr>
        <w:tab/>
      </w:r>
    </w:p>
    <w:p w14:paraId="35F887B3" w14:textId="77777777" w:rsidR="00C64F64" w:rsidRPr="00C64F64" w:rsidRDefault="00CB6B9E" w:rsidP="00C64F64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Попроцкий И.Я. обратился в суд с иском к ПАО «Сбербанк России», в котором просил взыскать с ответчика 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>денежные средства в размере 5 313 774,54 руб., 4 858 139,10 руб. - эквивалент 1905,9 грамм золота, компенсац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>ию морального вреда в размере 100 000 руб., судебные расходы по уплате государственной пошлины в размере 54 059 руб..</w:t>
      </w:r>
    </w:p>
    <w:p w14:paraId="1A7AAF1A" w14:textId="77777777" w:rsidR="00C64F64" w:rsidRPr="00C64F64" w:rsidRDefault="00CB6B9E" w:rsidP="00C64F64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обоснование заявленных требований истец указал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является клиентом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ПАО «Сбербанк России», владельцем вкладов: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 (обезличенный металлический счет),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>. В период с 14 января по 19 января 2016 года с принадлежащих истцу счетов произведено несанкционированное списание денежных средств на общую сумму 5 313 774,54 руб., а также с обезличенного металли</w:t>
      </w:r>
      <w:r w:rsidRPr="00C64F64">
        <w:rPr>
          <w:rFonts w:ascii="Times New Roman" w:eastAsia="Times New Roman" w:hAnsi="Times New Roman"/>
          <w:sz w:val="24"/>
          <w:szCs w:val="24"/>
          <w:lang w:eastAsia="ru-RU"/>
        </w:rPr>
        <w:t xml:space="preserve">ческого счета списано 1905,90 грамм золота, что эквивалентно сумме 4 868 139,10 руб.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обратился в банк с заявлением об осуществлении спорных операций и возврате денежных средств, в чем ответчиком отказано. </w:t>
      </w:r>
    </w:p>
    <w:p w14:paraId="6F9C4073" w14:textId="77777777" w:rsid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Решением Гагаринского районного суда города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Москвы от 30 июня 2016 года в удовлетворении иска Попроцкого И.Я. – отказано.</w:t>
      </w:r>
    </w:p>
    <w:p w14:paraId="58616AF8" w14:textId="77777777" w:rsidR="00C64F64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Апелляционным определением судебной коллегии по гражданским делам Московского городского суда от 04 октября 2016 года решение Гагаринского районного суда города Москвы от 30 июня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2016 года оставлено без изменения.</w:t>
      </w:r>
    </w:p>
    <w:p w14:paraId="2C519B37" w14:textId="77777777" w:rsidR="00C64F64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Постановлением Президиума Московского городского суда от 04 апреля 2017 года решение Гагаринского районного суда города Москвы от 30 июня 2016 года и апелляционное определение судебной коллегии по гражданским делам Моско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вского городского суда от                04 октября 2016 года – отменены, дело направлено на новое рассмотрение в тот же суд в ином составе суда.</w:t>
      </w:r>
    </w:p>
    <w:p w14:paraId="51BC4EC4" w14:textId="77777777" w:rsidR="00C64F64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Решением Гагаринского районного суда города Москвы от 28 сентября 2017 года в удовлетворении иска Попроцкого 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.Я. – отказано.</w:t>
      </w:r>
    </w:p>
    <w:p w14:paraId="4026A17A" w14:textId="77777777" w:rsidR="00E570C5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Апелляционным определением судебной коллегии по гражданским делам Московского городского суда от 16 марта 2018 года решение Гагаринского районного суда города Москвы от 28 сентября 2017 года оставлено без изменения.</w:t>
      </w:r>
    </w:p>
    <w:p w14:paraId="250D8ADB" w14:textId="77777777" w:rsidR="00A03D73" w:rsidRP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кассационной жалобе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процкий И.Я. просит отменить решение Гагаринского районного суда города Москвы от 28 сентября 2017 года и апелляционное определение судебной коллегии по гражданским делам Московского городского суда от 16 марта                    2018 года, направить дело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 новое рассмотрение.</w:t>
      </w:r>
    </w:p>
    <w:p w14:paraId="1394BC9E" w14:textId="77777777" w:rsidR="00A03D73" w:rsidRP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4C14B0B2" w14:textId="77777777" w:rsidR="00A03D73" w:rsidRP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1) об отказе в передаче кассационных жалобы, представления для рассмот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50CB7873" w14:textId="77777777" w:rsidR="00A03D73" w:rsidRP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2) о передаче кассационных жалобы, представления с делом для рассмотрения в судебном заседании суда кассационно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й инстанции.</w:t>
      </w:r>
    </w:p>
    <w:p w14:paraId="28D8C12D" w14:textId="77777777" w:rsidR="00A03D73" w:rsidRPr="00CD5041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Основаниями для отмены или изменения судебных постановлений в кассационном 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тановление и защита нарушенных прав, свобод и законных интересов, а также защита охраняемых законом публичных интересов.</w:t>
      </w:r>
    </w:p>
    <w:p w14:paraId="1E779652" w14:textId="77777777" w:rsidR="005E287A" w:rsidRDefault="00CB6B9E" w:rsidP="00D0383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Как усматривается из судебных постановлений, они сомнений в законности не вызывают, а доводы жалобы в соответствии со статьей 387 Гражд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анского процессуального Кодекса РФ не могут повлечь их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6CCE7964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Судом первой инстанци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установлено, что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Попроцкий И.Я. является вкладчиком (вклады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, 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(обезличенный металлический счет), № 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) и держателем карты ПАО «Сбербанк России»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на условиях банковского обслуживания физических лиц ПАО «Сбербанк России».</w:t>
      </w:r>
    </w:p>
    <w:p w14:paraId="4813D49C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банковского обслуживания в совокупности состоит из подписанного клиентом Заявления на банковское обслуживание, Условий банковского обслуживания физических ли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ц ОАО «Сбербанк России», Памятки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держателя и Тарифов банка. Данный договор является договором присо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единения. Условия договора определены банком в стандартной форме, рассматриваются как предложение банка, а физическое лицо, подписав заявление, акцептует сделанное предложение. </w:t>
      </w:r>
    </w:p>
    <w:p w14:paraId="3BD03213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Согласно Условиям, обязательным условием для заключения договора банковского о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бслуживания является наличие у клиента счета карты в рублях и действующей международной карты банка, выпущенной по данному счету. В случае, если у клиента банка  имеется действующая основная дебетовая карта, выпущенная к счету в рублях, открытие дополнител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ьного счета карты в рублях не требуется, данная карта может быть использована в качестве средства доступа к проведению через удаленные каналы обслуживания (п. 1.9). Действие договора банковского обслуживания распространяется на счета карт, открытых как до,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1.10).</w:t>
      </w:r>
    </w:p>
    <w:p w14:paraId="3D1DCEBB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В рамках договора клиенту предоставляется возможность проведения банковских опе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раций через удаленные каналы обслуживания, в частности систему «Сбербанк ОнЛ@йн».</w:t>
      </w:r>
    </w:p>
    <w:p w14:paraId="3B90AEE1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фикатора пользователя и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Условий). Услуги предоставл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3891CA80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Подписав договор, клиент соглашается с тем, что постоянный и одноразовый пароли являются аналогом собственноручной подписи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, предусмотренных договором банковского обслуживания, удовлетворяют требованиям совершения сделок в простой письменной форме в случаях, предусмотренных законодательством, и влекут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последствия, аналогичные последствиям совершения сделок, совершенных при физ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ическом присутствии лица, совершающего сделку.</w:t>
      </w:r>
    </w:p>
    <w:p w14:paraId="4C126565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нтификацию клиента и совершение операции в такой системе.</w:t>
      </w:r>
    </w:p>
    <w:p w14:paraId="78C8A5CF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Также судом установлено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спорные операции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 счетам Попроцкого И.Я.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происходили через систему «Сбербанк ОнЛ@йн», для входа в которую были использованы реквизиты принадлежащей истцу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которой 15 апреля 2015 года в банкомате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с использованием правильного ПИН-кода были получены идентификатор пользователя и постоянный пароль для входы в систему «Сбербанк ОнЛ@йн», что подтверждается выпиской из ленты банкомата.</w:t>
      </w:r>
    </w:p>
    <w:p w14:paraId="448DF966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По состоянию н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а 15 апреля 2015 года получение идентификатора пользователя и постоянного пароля - карта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являлась действующей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5A599FF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Предоставление услуги «Сбербанк ОнЛ@йн» осуществляется только в случае успешной идентификации и аутентификации клиента.</w:t>
      </w:r>
    </w:p>
    <w:p w14:paraId="0D117A3F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Без положительной 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ых банка) клиента осуществление каких-либо операций с использованием системы «Сбербанк ОнЛ@йн» невозможно.</w:t>
      </w:r>
    </w:p>
    <w:p w14:paraId="728B759C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06 июля 2015 года истцом через систему «Сбербанк ОнЛ@йн» были изменены настройки оповещения, а также настойки безопасности: отключен ввод одноразовог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о пароля при входе в систему «Сбербанк ОнЛ@йн». </w:t>
      </w:r>
    </w:p>
    <w:p w14:paraId="6B2BE0BF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29 июня 2015 года истцом изменен телефон для получения СМС подтверждений входа в систему «Сбербанк ОнЛ@йн» и операций в данной системе. </w:t>
      </w:r>
    </w:p>
    <w:p w14:paraId="0D5A01FD" w14:textId="77777777" w:rsidR="00E570C5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В период времени с 14 января 2016 года по 28 января 2016 года через си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стему «Сбербанк ОнЛ@йн» была проведена 51 операция по переводу денежных средств между счетами истца, в том числе, операции по покупке и продаже золота по текущему курсу с использованием обезличенного металлического счета. </w:t>
      </w:r>
    </w:p>
    <w:p w14:paraId="510B1177" w14:textId="77777777" w:rsid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Данные операции были проведены вн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утри счетов истца,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подтверждения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которых не требуется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использование паролей</w:t>
      </w:r>
      <w:r w:rsidRPr="00E570C5">
        <w:rPr>
          <w:rFonts w:ascii="Times New Roman" w:eastAsia="Times New Roman" w:hAnsi="Times New Roman"/>
          <w:sz w:val="24"/>
          <w:szCs w:val="24"/>
          <w:lang w:eastAsia="ru-RU"/>
        </w:rPr>
        <w:t>, что подтверждается представленными в материалы дела протоколами проведения операций в системе «Сбербанк ОнЛ@йн» и СМС-сообщениями.</w:t>
      </w:r>
    </w:p>
    <w:p w14:paraId="30A9D1CE" w14:textId="77777777" w:rsidR="00BD5417" w:rsidRPr="00E570C5" w:rsidRDefault="00CB6B9E" w:rsidP="00E570C5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Дав оценку собранным по делу доказательствам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их совокупности, суд первой инстанции пришел к выводу об отказе в удовлетворении исковых требований                 Попроцкого И.Я. в полном объеме, поскольку в ходе рассмотрения дела вина ответчика в причинении истцу убытков не установлена, списание де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нежных средств со счетов истца происходило в соответствии с установленными правилами, посредством телефонного номера, подключенного к системе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«Сбербанк ОнЛ@йн»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использованием правильных пин-кодов и паролей.</w:t>
      </w:r>
    </w:p>
    <w:p w14:paraId="7DE2A1ED" w14:textId="77777777" w:rsidR="00D20FE6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коллегия, рассмотрев дело в апелляцион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ном порядк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е, с выводами суда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первой инстанции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 xml:space="preserve"> сог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ласилась.</w:t>
      </w:r>
    </w:p>
    <w:p w14:paraId="7A6AF5FC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истца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о том, что спорные операции были проведены через систему «Сбербанк ОнЛ@йн» с использованием реквизитов банковской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, которая была заблокирована в декабре 2015 года, в связи с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чем в период с 14 января 2016 года по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28 января 2016 года через систему «Сбербанк ОнЛ@йн»  никакие операции с указанной картой не могли быть проведены,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отклонены судебной коллегией по следующим основаниям.</w:t>
      </w:r>
    </w:p>
    <w:p w14:paraId="746BAC2B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Доступ клиента к услуге «Сбербан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к ОнЛ@йн» осуществляется при его успешной идентификации и аутентификации на основании идентификатора пользователя и постоянного пароля.</w:t>
      </w:r>
    </w:p>
    <w:p w14:paraId="61B8F5EA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Без использования, имеющихся у клиента идентификатора пользователя и постоянного пароля, вход в систему «Сбербанк ОнЛ@йн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» невозможен.</w:t>
      </w:r>
    </w:p>
    <w:p w14:paraId="0FBEFB6F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этом согласно п. 19 ст. 3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Федерального закона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«О национальной платежной системе» от 27 июня 2011 года электронное средство платежа - средство и (или) способ, позволяющие клиенту оператора по переводу денежных средств составлять, удостовер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ять и передавать распоряжения в целях осуществления перевода денежных средств в рамках применяемых форм безналичных расчетов с использованием информационно-коммуникационных технологий, электронных носителей информации, а также иных технических устройств.</w:t>
      </w:r>
    </w:p>
    <w:p w14:paraId="2CC09A9B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истема «Сбербанк ОнЛ@йн» и банковская карта - два разных электронных средства платежа, действующих на основании двух договоров, приостановление исполнения одного из которых само по себе не дает Банку оснований для приостановления исполнения другого.</w:t>
      </w:r>
    </w:p>
    <w:p w14:paraId="73F7F882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Соглас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но п. 2.3 Положения о правилах осуществления перевода денежных средств от 19 июня 2012 года № 383-П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удостоверено в соответствии с п. 1.24 настоящего Положения.</w:t>
      </w:r>
    </w:p>
    <w:p w14:paraId="0B058904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со ст. 9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Феде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рального закона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«О национальной платежной системе» использование электронных средств платежа осуществляется на основании договора об использовании электронного средства платежа, заключенного оператором по переводу денежных средств с клиентом, а также догов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оров, заключенных между операторами по переводу денежных средств.</w:t>
      </w:r>
    </w:p>
    <w:p w14:paraId="6E66269B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Таким договором, заключенным между ПАО «Сбербанк России» и Попроцким И.Я. является «Заявление на банковское обслуживание».</w:t>
      </w:r>
    </w:p>
    <w:p w14:paraId="5FE40570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Доступ клиента к услуге «Сбербанк ОнЛ@йн» осуществляется при услови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и его успешной идентификации и аутентификации на основании получения идентификатора пользователя и постоянного пароля, полученных одним из способов: через устройство самообслуживания, контактный центр Банка (п.п. 3.6, 3.7 Условий Приложение № 4).</w:t>
      </w:r>
    </w:p>
    <w:p w14:paraId="49B180B7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Таким обр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азом, для входа в систему «Сбербанк ОнЛ@йн» необходимы идентификатор пользователя и постоянный пароль, необходимые для идентификации и аутентификации клиента, а сама по себе карта является одним из способов их получения и не привязана к идентификатору и по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стоянному паролю. Основанием аутентификации клиента при проведении операций по карте является ПИН-код, выдаваемы вместе с картой.</w:t>
      </w:r>
    </w:p>
    <w:p w14:paraId="39A3BCF4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15 апреля 2015 года истцом с использованием устройства самообслуживания банкомата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(с использованием карты 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и введе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нием ПИН-кода), был получен идентификатор пользователя и постоянный пароль, что подтверждается копией ленты/чека банкомата,  необходимые для входа в систему «Сбербанк ОнЛ@йн». </w:t>
      </w:r>
    </w:p>
    <w:p w14:paraId="5994B9A0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Таким образом, банковская карта, как ключ, дает возможность для распоряжения де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нежными средствами, находящимися только на счете открытом для ее обслуживания с использованием ПИН-кода, в данном случае счете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, а использование карты для получения идентификатора пользователя и постоянного пароля является лишь способом их получения для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дальнейшего доступа к системе «Сбербанк ОнЛ@йн».</w:t>
      </w:r>
    </w:p>
    <w:p w14:paraId="39A218ED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Кроме того, Попроцкий И.Я. обратился в банк с требованием о блокировке одного средства платежа - банковской карты, оснований для блокировки доступа к системе «Сбербанк ОнЛ@йн»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 ответчика не было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, по указан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ной причине у банка не было оснований для неисполнения поручения клиента, отданного посредством другого электронного средства платежа - через систему «Сбербанк ОнЛ@йн», в которую клиент зашел испо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льзуя идентификатор и постоянный пароль, выданные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ему ранее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предъявлении банковской карты.</w:t>
      </w:r>
    </w:p>
    <w:p w14:paraId="1AA301DC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27 мая 2015 года действие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было приостановлено по заявлению Попроцкого И.Я. с кодом «К» (приостановлено в связи с компрометацией), которая в последующем была перевыпущена на карту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(за другим номером, так к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ак при компрометации меняется номер карты и ПИН-код), при перевыпуске карты счет остался прежним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A8B0C84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Перевыпущенная карта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была получена Попроцким И.Я. 04 июня 2015 года, что подтверждается мемориальным ордером.</w:t>
      </w:r>
    </w:p>
    <w:p w14:paraId="436C1B9D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Таким образом, при осуществлении П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опроцким И.Я. блокировки (приостановления действия) банковской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банком были установлены ограничения только для совершения операций по счету с использованием указанной карты и ПИН-кода к ней.</w:t>
      </w:r>
    </w:p>
    <w:p w14:paraId="256C3306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Блокировка карты - процедура установления банком техни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ческого ограничения на совершение   операций   с   использованием   карты,   предусматривающая   отказ   банка   от предоставления авторизации при использовании карты в устройствах самообслуживания (банкоматах/терминалах).</w:t>
      </w:r>
    </w:p>
    <w:p w14:paraId="42EE309E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Таким образом, блокировка банковс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кой карты не ведет к ограничению в распоряжении денежными средствами, хранящимися на иных счетах, вкладах, открытых на имя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Попроцкого И.Я.</w:t>
      </w:r>
    </w:p>
    <w:p w14:paraId="46CBE328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При блокировке банковской карты доступ к удаленным каналам обслуживания не ограничивается.</w:t>
      </w:r>
    </w:p>
    <w:p w14:paraId="16D6537F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Кроме того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судебной коллегией учтено, что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02 ноября 2015 года, то есть после перевыпуска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(действие приостановлено 27 мая 2015 года) на карту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(была получена истцом 04 июня 2015 года) в системе «Сбербанк ОнЛ@йн» были проведены операции по покупке пр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одаже золота, с использованием идентификатора и постоянного пароля, полученного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использованием карты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, что подтверждается журналом операций, журналом входа, протоколами операций.</w:t>
      </w:r>
    </w:p>
    <w:p w14:paraId="374DDA12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Указанные операции по купле-продажи золота 02 ноября 2015 года с испол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ьзованием идентификатора и постоянного пароля, полученных с использованием заблокированной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, Попроцким И.Я.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ходе рассмотрения дела не оспаривались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0B3C173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таких обстоятельствах, на момент проведения спорных операций банк не имел права ограничить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доступ истца к своим счетам, с использованием, действующих идентификатора и постоянного пароля.</w:t>
      </w:r>
    </w:p>
    <w:p w14:paraId="4B113B9B" w14:textId="77777777" w:rsidR="00BD5417" w:rsidRP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Все спорные операции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по купле-продаже золота, осуществлялись Попроцким И.Я. внутри счетов, открыты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х на его имя, денежные средства в спорный период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со счетов Поп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роцкого И.Я. на счета третьих лиц не перечислялись, что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следует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из выписок по счетам и журнала проведения операций в системе «Сбербанк ОнЛ@йн».</w:t>
      </w:r>
    </w:p>
    <w:p w14:paraId="6F28998C" w14:textId="77777777" w:rsidR="00BD5417" w:rsidRDefault="00CB6B9E" w:rsidP="00BD541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Также судебная коллегия отклонила доводы истца о том, 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номер мобильного телефона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на который возможно при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ходили СМС-сообщения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принадлежит истцу, поскольку в представленном в материалы дела заявлении на подключение основной карты к мобильному банку от 15 апреля 2015 года введены реквизиты: оператор Билайн, номер телефона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BD541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39793D0" w14:textId="77777777" w:rsidR="006E0B8F" w:rsidRPr="006E0B8F" w:rsidRDefault="00CB6B9E" w:rsidP="006E0B8F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Выводы судебных инстанций явля</w:t>
      </w: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ются правильными, мотивированными и в жалобе по существу не опровергнуты.</w:t>
      </w:r>
    </w:p>
    <w:p w14:paraId="690E4117" w14:textId="77777777" w:rsidR="00A205F5" w:rsidRDefault="00CB6B9E" w:rsidP="00D20FE6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Оснований для иных выводов не имеется.</w:t>
      </w:r>
    </w:p>
    <w:p w14:paraId="62E407D7" w14:textId="77777777" w:rsidR="00A205F5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>Доводы кассационной жалобы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 xml:space="preserve">были предметом подробного изучения судов первой и апелляционной инстанции, направлены на оспаривание их выводов, не 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>содержат обстоятельств, нуждающихся в дополнительной проверке, основанием к отмене решения суда и определения судебной коллегии служить не могут, так как основаны 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неверном толковании заявителем норм материального права и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 xml:space="preserve"> иной оценке доказательств,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>при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>менительно к положениям ст. ст. 378, 386, 387 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</w:t>
      </w:r>
      <w:r w:rsidRPr="00B5748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10D9FF1" w14:textId="77777777" w:rsidR="00A03D73" w:rsidRPr="00A03D73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При вынесении оспариваемых судебных постановлений существенных нарушений норм материального или процессуального права допущено не было.</w:t>
      </w:r>
    </w:p>
    <w:p w14:paraId="62BDBC69" w14:textId="77777777" w:rsidR="009D0D03" w:rsidRPr="00B851D0" w:rsidRDefault="00CB6B9E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hAnsi="Times New Roman"/>
          <w:sz w:val="24"/>
          <w:szCs w:val="24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При данных обстоятельствах оснований для передачи кассационной жалобы для рассмотрения в судебном заседании суда касса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ционной инстанции не имеется.</w:t>
      </w:r>
    </w:p>
    <w:p w14:paraId="23F1FC83" w14:textId="77777777" w:rsidR="00045AD2" w:rsidRPr="000C2845" w:rsidRDefault="00CB6B9E" w:rsidP="002E1DA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На основании изложенного, руководствуясь статьей 381 ГПК РФ,</w:t>
      </w:r>
    </w:p>
    <w:p w14:paraId="1570E471" w14:textId="77777777" w:rsidR="00045AD2" w:rsidRPr="000C2845" w:rsidRDefault="00CB6B9E" w:rsidP="00045AD2">
      <w:pPr>
        <w:pStyle w:val="TimesNewRoman"/>
        <w:rPr>
          <w:szCs w:val="24"/>
        </w:rPr>
      </w:pPr>
    </w:p>
    <w:p w14:paraId="26F87508" w14:textId="77777777" w:rsidR="00045AD2" w:rsidRPr="000C2845" w:rsidRDefault="00CB6B9E" w:rsidP="00045AD2">
      <w:pPr>
        <w:pStyle w:val="TimesNewRoman"/>
        <w:jc w:val="center"/>
        <w:rPr>
          <w:b/>
          <w:szCs w:val="24"/>
        </w:rPr>
      </w:pPr>
      <w:r w:rsidRPr="000C2845">
        <w:rPr>
          <w:b/>
          <w:szCs w:val="24"/>
        </w:rPr>
        <w:t>о п р е д е л и л:</w:t>
      </w:r>
    </w:p>
    <w:p w14:paraId="24AE6D4E" w14:textId="77777777" w:rsidR="00045AD2" w:rsidRPr="000C2845" w:rsidRDefault="00CB6B9E" w:rsidP="00045AD2">
      <w:pPr>
        <w:pStyle w:val="TimesNewRoman"/>
        <w:rPr>
          <w:szCs w:val="24"/>
        </w:rPr>
      </w:pPr>
    </w:p>
    <w:p w14:paraId="52A4020E" w14:textId="77777777" w:rsidR="00E95099" w:rsidRDefault="00CB6B9E" w:rsidP="0084550A">
      <w:pPr>
        <w:pStyle w:val="TimesNewRoman"/>
        <w:ind w:firstLine="709"/>
        <w:rPr>
          <w:szCs w:val="24"/>
        </w:rPr>
      </w:pPr>
      <w:r w:rsidRPr="00A03D73">
        <w:rPr>
          <w:szCs w:val="24"/>
        </w:rPr>
        <w:t>в передаче кассационной жалобы</w:t>
      </w:r>
      <w:r w:rsidRPr="00E95099">
        <w:t xml:space="preserve"> </w:t>
      </w:r>
      <w:r>
        <w:t>Попроцкого И.Я.</w:t>
      </w:r>
      <w:r w:rsidRPr="008D4381">
        <w:t xml:space="preserve"> </w:t>
      </w:r>
      <w:r w:rsidRPr="00680C61">
        <w:rPr>
          <w:szCs w:val="24"/>
        </w:rPr>
        <w:t xml:space="preserve">на </w:t>
      </w:r>
      <w:r w:rsidRPr="004E4142">
        <w:rPr>
          <w:szCs w:val="24"/>
        </w:rPr>
        <w:t>решение Гагаринского районного суда города Москвы от 28 сентября 2017 года и апелляционное опр</w:t>
      </w:r>
      <w:r w:rsidRPr="004E4142">
        <w:rPr>
          <w:szCs w:val="24"/>
        </w:rPr>
        <w:t xml:space="preserve">еделение судебной коллегии по гражданским делам Московского городского суда от 16 марта                 2018 года по гражданскому делу по иску Попроцкого </w:t>
      </w:r>
      <w:r>
        <w:rPr>
          <w:szCs w:val="24"/>
        </w:rPr>
        <w:t>И.Я.</w:t>
      </w:r>
      <w:r w:rsidRPr="004E4142">
        <w:rPr>
          <w:szCs w:val="24"/>
        </w:rPr>
        <w:t xml:space="preserve"> к ПАО «Сбербанк России» о взыскании денежных средств</w:t>
      </w:r>
      <w:r>
        <w:rPr>
          <w:szCs w:val="24"/>
        </w:rPr>
        <w:t xml:space="preserve"> </w:t>
      </w:r>
      <w:r w:rsidRPr="00A03D73">
        <w:rPr>
          <w:szCs w:val="24"/>
        </w:rPr>
        <w:t>для рассмотрения в судебном заседании суда к</w:t>
      </w:r>
      <w:r w:rsidRPr="00A03D73">
        <w:rPr>
          <w:szCs w:val="24"/>
        </w:rPr>
        <w:t>ассационной инстанции</w:t>
      </w:r>
      <w:r>
        <w:rPr>
          <w:szCs w:val="24"/>
        </w:rPr>
        <w:t xml:space="preserve"> -</w:t>
      </w:r>
      <w:r w:rsidRPr="00A03D73">
        <w:rPr>
          <w:szCs w:val="24"/>
        </w:rPr>
        <w:t xml:space="preserve"> отказать.</w:t>
      </w:r>
    </w:p>
    <w:p w14:paraId="78EFC02E" w14:textId="77777777" w:rsidR="00B57481" w:rsidRDefault="00CB6B9E" w:rsidP="002E5B82">
      <w:pPr>
        <w:pStyle w:val="TimesNewRoman"/>
        <w:rPr>
          <w:szCs w:val="24"/>
        </w:rPr>
      </w:pPr>
    </w:p>
    <w:p w14:paraId="20AC9089" w14:textId="77777777" w:rsidR="004E4142" w:rsidRPr="000C2845" w:rsidRDefault="00CB6B9E" w:rsidP="002E5B82">
      <w:pPr>
        <w:pStyle w:val="TimesNewRoman"/>
        <w:rPr>
          <w:szCs w:val="24"/>
        </w:rPr>
      </w:pPr>
    </w:p>
    <w:p w14:paraId="173199EF" w14:textId="77777777" w:rsidR="00045AD2" w:rsidRPr="000C2845" w:rsidRDefault="00CB6B9E" w:rsidP="00045AD2">
      <w:pPr>
        <w:pStyle w:val="TimesNewRoman"/>
        <w:rPr>
          <w:b/>
          <w:szCs w:val="24"/>
        </w:rPr>
      </w:pPr>
      <w:r w:rsidRPr="000C2845">
        <w:rPr>
          <w:b/>
          <w:szCs w:val="24"/>
        </w:rPr>
        <w:t>Судья</w:t>
      </w:r>
    </w:p>
    <w:p w14:paraId="64EB2835" w14:textId="77777777" w:rsidR="00045AD2" w:rsidRPr="000C2845" w:rsidRDefault="00CB6B9E" w:rsidP="00045AD2">
      <w:pPr>
        <w:pStyle w:val="TimesNewRoman"/>
        <w:rPr>
          <w:szCs w:val="24"/>
        </w:rPr>
      </w:pPr>
      <w:r w:rsidRPr="000C2845">
        <w:rPr>
          <w:b/>
          <w:szCs w:val="24"/>
        </w:rPr>
        <w:t xml:space="preserve">Московского городского суда                                                                         </w:t>
      </w:r>
      <w:r>
        <w:rPr>
          <w:b/>
          <w:szCs w:val="24"/>
        </w:rPr>
        <w:t xml:space="preserve">   </w:t>
      </w:r>
      <w:r>
        <w:rPr>
          <w:b/>
          <w:szCs w:val="24"/>
        </w:rPr>
        <w:t>Г.А. Аванесова</w:t>
      </w:r>
    </w:p>
    <w:sectPr w:rsidR="00045AD2" w:rsidRPr="000C2845" w:rsidSect="004E4142">
      <w:pgSz w:w="11906" w:h="16838"/>
      <w:pgMar w:top="1418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1C3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7072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A87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CE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8D7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707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90E6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2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9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C2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062B9"/>
    <w:multiLevelType w:val="singleLevel"/>
    <w:tmpl w:val="8752EA1A"/>
    <w:lvl w:ilvl="0">
      <w:start w:val="1"/>
      <w:numFmt w:val="decimal"/>
      <w:lvlText w:val="%1)"/>
      <w:legacy w:legacy="1" w:legacySpace="0" w:legacyIndent="332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AD2"/>
    <w:rsid w:val="00C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9797AF8"/>
  <w15:chartTrackingRefBased/>
  <w15:docId w15:val="{C9043D13-8EC7-445D-B978-74E7347C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1F0266"/>
    <w:pPr>
      <w:jc w:val="both"/>
    </w:pPr>
    <w:rPr>
      <w:rFonts w:ascii="Times New Roman" w:hAnsi="Times New Roman"/>
      <w:sz w:val="24"/>
      <w:szCs w:val="22"/>
      <w:lang w:val="ru-RU" w:eastAsia="en-US"/>
    </w:rPr>
  </w:style>
  <w:style w:type="paragraph" w:styleId="a3">
    <w:name w:val="Body Text Indent"/>
    <w:basedOn w:val="a"/>
    <w:link w:val="a4"/>
    <w:rsid w:val="00045AD2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045AD2"/>
    <w:rPr>
      <w:rFonts w:ascii="Times New Roman" w:eastAsia="Times New Roman" w:hAnsi="Times New Roman"/>
      <w:sz w:val="28"/>
    </w:rPr>
  </w:style>
  <w:style w:type="paragraph" w:styleId="2">
    <w:name w:val="Body Text Indent 2"/>
    <w:basedOn w:val="a"/>
    <w:link w:val="20"/>
    <w:rsid w:val="00045AD2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45AD2"/>
    <w:rPr>
      <w:rFonts w:ascii="Times New Roman" w:eastAsia="Times New Roman" w:hAnsi="Times New Roman"/>
      <w:sz w:val="18"/>
    </w:rPr>
  </w:style>
  <w:style w:type="character" w:customStyle="1" w:styleId="FontStyle18">
    <w:name w:val="Font Style18"/>
    <w:uiPriority w:val="99"/>
    <w:rsid w:val="00045AD2"/>
    <w:rPr>
      <w:rFonts w:ascii="Times New Roman" w:hAnsi="Times New Roman" w:cs="Times New Roman"/>
      <w:sz w:val="20"/>
      <w:szCs w:val="20"/>
    </w:rPr>
  </w:style>
  <w:style w:type="paragraph" w:customStyle="1" w:styleId="Style13">
    <w:name w:val="Style13"/>
    <w:basedOn w:val="a"/>
    <w:rsid w:val="00045AD2"/>
    <w:pPr>
      <w:widowControl w:val="0"/>
      <w:autoSpaceDE w:val="0"/>
      <w:autoSpaceDN w:val="0"/>
      <w:adjustRightInd w:val="0"/>
      <w:spacing w:after="0" w:line="283" w:lineRule="exact"/>
      <w:ind w:firstLine="49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Exact">
    <w:name w:val="Body text Exact"/>
    <w:rsid w:val="00215FCA"/>
    <w:rPr>
      <w:rFonts w:ascii="Times New Roman" w:hAnsi="Times New Roman" w:cs="Times New Roman"/>
      <w:spacing w:val="4"/>
      <w:sz w:val="20"/>
      <w:szCs w:val="20"/>
      <w:u w:val="none"/>
    </w:rPr>
  </w:style>
  <w:style w:type="character" w:customStyle="1" w:styleId="BodytextBoldExact">
    <w:name w:val="Body text + Bold Exact"/>
    <w:rsid w:val="00215FCA"/>
    <w:rPr>
      <w:b/>
      <w:bCs/>
      <w:color w:val="000000"/>
      <w:spacing w:val="4"/>
      <w:w w:val="100"/>
      <w:position w:val="0"/>
      <w:sz w:val="20"/>
      <w:szCs w:val="20"/>
      <w:lang w:bidi="ar-SA"/>
    </w:rPr>
  </w:style>
  <w:style w:type="character" w:customStyle="1" w:styleId="Bodytext">
    <w:name w:val="Body text_"/>
    <w:link w:val="Bodytext1"/>
    <w:rsid w:val="00215FCA"/>
    <w:rPr>
      <w:sz w:val="22"/>
      <w:szCs w:val="22"/>
      <w:shd w:val="clear" w:color="auto" w:fill="FFFFFF"/>
    </w:rPr>
  </w:style>
  <w:style w:type="paragraph" w:customStyle="1" w:styleId="Bodytext1">
    <w:name w:val="Body text1"/>
    <w:basedOn w:val="a"/>
    <w:link w:val="Bodytext"/>
    <w:rsid w:val="00215FCA"/>
    <w:pPr>
      <w:widowControl w:val="0"/>
      <w:shd w:val="clear" w:color="auto" w:fill="FFFFFF"/>
      <w:spacing w:before="60" w:after="0" w:line="240" w:lineRule="atLeast"/>
      <w:ind w:hanging="360"/>
      <w:jc w:val="right"/>
    </w:pPr>
    <w:rPr>
      <w:lang w:eastAsia="ru-RU"/>
    </w:rPr>
  </w:style>
  <w:style w:type="character" w:customStyle="1" w:styleId="Bodytext6">
    <w:name w:val="Body text (6)_"/>
    <w:link w:val="Bodytext61"/>
    <w:rsid w:val="00215FCA"/>
    <w:rPr>
      <w:b/>
      <w:bCs/>
      <w:sz w:val="22"/>
      <w:szCs w:val="22"/>
      <w:shd w:val="clear" w:color="auto" w:fill="FFFFFF"/>
    </w:rPr>
  </w:style>
  <w:style w:type="character" w:customStyle="1" w:styleId="BodytextBold">
    <w:name w:val="Body text + Bold"/>
    <w:rsid w:val="00215FCA"/>
    <w:rPr>
      <w:rFonts w:ascii="Times New Roman" w:hAnsi="Times New Roman" w:cs="Times New Roman"/>
      <w:b/>
      <w:bCs/>
      <w:sz w:val="22"/>
      <w:szCs w:val="22"/>
      <w:u w:val="none"/>
      <w:lang w:bidi="ar-SA"/>
    </w:rPr>
  </w:style>
  <w:style w:type="character" w:customStyle="1" w:styleId="Bodytext0">
    <w:name w:val="Body text"/>
    <w:rsid w:val="00215FCA"/>
    <w:rPr>
      <w:rFonts w:ascii="Times New Roman" w:hAnsi="Times New Roman" w:cs="Times New Roman"/>
      <w:sz w:val="22"/>
      <w:szCs w:val="22"/>
      <w:u w:val="single"/>
      <w:lang w:bidi="ar-SA"/>
    </w:rPr>
  </w:style>
  <w:style w:type="character" w:customStyle="1" w:styleId="Bodytext6NotBold">
    <w:name w:val="Body text (6) + Not Bold"/>
    <w:rsid w:val="00215FCA"/>
  </w:style>
  <w:style w:type="character" w:customStyle="1" w:styleId="Bodytext60">
    <w:name w:val="Body text (6)"/>
    <w:rsid w:val="00215FCA"/>
    <w:rPr>
      <w:b/>
      <w:bCs/>
      <w:sz w:val="22"/>
      <w:szCs w:val="22"/>
      <w:u w:val="single"/>
      <w:lang w:bidi="ar-SA"/>
    </w:rPr>
  </w:style>
  <w:style w:type="paragraph" w:customStyle="1" w:styleId="Bodytext61">
    <w:name w:val="Body text (6)1"/>
    <w:basedOn w:val="a"/>
    <w:link w:val="Bodytext6"/>
    <w:rsid w:val="00215FCA"/>
    <w:pPr>
      <w:widowControl w:val="0"/>
      <w:shd w:val="clear" w:color="auto" w:fill="FFFFFF"/>
      <w:spacing w:after="0" w:line="274" w:lineRule="exact"/>
    </w:pPr>
    <w:rPr>
      <w:b/>
      <w:bCs/>
      <w:lang w:eastAsia="ru-RU"/>
    </w:rPr>
  </w:style>
  <w:style w:type="character" w:customStyle="1" w:styleId="FontStyle13">
    <w:name w:val="Font Style13"/>
    <w:rsid w:val="007E7C79"/>
    <w:rPr>
      <w:rFonts w:ascii="Times New Roman" w:hAnsi="Times New Roman" w:cs="Times New Roman"/>
      <w:sz w:val="34"/>
      <w:szCs w:val="34"/>
    </w:rPr>
  </w:style>
  <w:style w:type="character" w:customStyle="1" w:styleId="Bodytext7pt">
    <w:name w:val="Body text + 7 pt"/>
    <w:aliases w:val="5 pt,9,Body text + Constantia,Bold,Italic,Spacing -1 pt"/>
    <w:rsid w:val="00922CE3"/>
    <w:rPr>
      <w:rFonts w:ascii="Times New Roman" w:hAnsi="Times New Roman" w:cs="Times New Roman"/>
      <w:b/>
      <w:bCs/>
      <w:i/>
      <w:iCs/>
      <w:spacing w:val="-30"/>
      <w:sz w:val="14"/>
      <w:szCs w:val="14"/>
      <w:u w:val="none"/>
      <w:lang w:bidi="ar-SA"/>
    </w:rPr>
  </w:style>
  <w:style w:type="character" w:customStyle="1" w:styleId="Bodytext9pt2">
    <w:name w:val="Body text + 9 pt2"/>
    <w:aliases w:val="Bold1,Italic1,Spacing -1 pt2"/>
    <w:rsid w:val="00922CE3"/>
    <w:rPr>
      <w:rFonts w:ascii="Times New Roman" w:hAnsi="Times New Roman" w:cs="Times New Roman"/>
      <w:b/>
      <w:bCs/>
      <w:i/>
      <w:iCs/>
      <w:spacing w:val="-20"/>
      <w:sz w:val="18"/>
      <w:szCs w:val="18"/>
      <w:u w:val="none"/>
      <w:lang w:bidi="ar-SA"/>
    </w:rPr>
  </w:style>
  <w:style w:type="character" w:customStyle="1" w:styleId="BodytextSpacing-1pt">
    <w:name w:val="Body text + Spacing -1 pt"/>
    <w:rsid w:val="00922CE3"/>
    <w:rPr>
      <w:rFonts w:ascii="Times New Roman" w:hAnsi="Times New Roman" w:cs="Times New Roman"/>
      <w:spacing w:val="-30"/>
      <w:sz w:val="22"/>
      <w:szCs w:val="22"/>
      <w:u w:val="none"/>
      <w:lang w:bidi="ar-SA"/>
    </w:rPr>
  </w:style>
  <w:style w:type="paragraph" w:styleId="a5">
    <w:name w:val="Normal (Web)"/>
    <w:basedOn w:val="a"/>
    <w:rsid w:val="00F86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nhideWhenUsed/>
    <w:rsid w:val="00B2522F"/>
    <w:rPr>
      <w:color w:val="0000FF"/>
      <w:u w:val="single"/>
    </w:rPr>
  </w:style>
  <w:style w:type="paragraph" w:customStyle="1" w:styleId="a7">
    <w:name w:val="Стиль"/>
    <w:rsid w:val="001E33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nhideWhenUsed/>
    <w:rsid w:val="00BB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rsid w:val="00BB5153"/>
    <w:rPr>
      <w:rFonts w:ascii="Calibri" w:eastAsia="Calibri" w:hAnsi="Calibri"/>
      <w:sz w:val="22"/>
      <w:szCs w:val="22"/>
      <w:lang w:val="ru-RU" w:eastAsia="en-US" w:bidi="ar-SA"/>
    </w:rPr>
  </w:style>
  <w:style w:type="paragraph" w:styleId="aa">
    <w:name w:val="Body Text"/>
    <w:basedOn w:val="a"/>
    <w:link w:val="ab"/>
    <w:rsid w:val="00DC2D28"/>
    <w:pPr>
      <w:spacing w:after="120"/>
    </w:pPr>
  </w:style>
  <w:style w:type="paragraph" w:styleId="3">
    <w:name w:val="Body Text 3"/>
    <w:basedOn w:val="a"/>
    <w:rsid w:val="00EA2FC2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FontStyle12">
    <w:name w:val="Font Style12"/>
    <w:rsid w:val="009C229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"/>
    <w:rsid w:val="009C2291"/>
    <w:pPr>
      <w:widowControl w:val="0"/>
      <w:autoSpaceDE w:val="0"/>
      <w:autoSpaceDN w:val="0"/>
      <w:adjustRightInd w:val="0"/>
      <w:spacing w:after="0" w:line="254" w:lineRule="exact"/>
      <w:ind w:firstLine="547"/>
      <w:jc w:val="both"/>
    </w:pPr>
    <w:rPr>
      <w:rFonts w:ascii="Sylfaen" w:eastAsia="Times New Roman" w:hAnsi="Sylfaen"/>
      <w:sz w:val="24"/>
      <w:szCs w:val="24"/>
      <w:lang w:eastAsia="ru-RU"/>
    </w:rPr>
  </w:style>
  <w:style w:type="character" w:styleId="ac">
    <w:name w:val="page number"/>
    <w:basedOn w:val="a0"/>
    <w:rsid w:val="009C406D"/>
  </w:style>
  <w:style w:type="paragraph" w:customStyle="1" w:styleId="Style5">
    <w:name w:val="Style5"/>
    <w:basedOn w:val="a"/>
    <w:rsid w:val="009C406D"/>
    <w:pPr>
      <w:widowControl w:val="0"/>
      <w:autoSpaceDE w:val="0"/>
      <w:autoSpaceDN w:val="0"/>
      <w:adjustRightInd w:val="0"/>
      <w:spacing w:after="0" w:line="278" w:lineRule="exact"/>
      <w:ind w:firstLine="123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9C406D"/>
    <w:pPr>
      <w:widowControl w:val="0"/>
      <w:autoSpaceDE w:val="0"/>
      <w:autoSpaceDN w:val="0"/>
      <w:adjustRightInd w:val="0"/>
      <w:spacing w:after="0" w:line="251" w:lineRule="exact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ad">
    <w:name w:val="Гипертекстовая ссылка"/>
    <w:rsid w:val="00D40971"/>
    <w:rPr>
      <w:rFonts w:cs="Times New Roman"/>
      <w:color w:val="106BBE"/>
    </w:rPr>
  </w:style>
  <w:style w:type="character" w:customStyle="1" w:styleId="ab">
    <w:name w:val="Основной текст Знак"/>
    <w:link w:val="aa"/>
    <w:semiHidden/>
    <w:locked/>
    <w:rsid w:val="00D012C3"/>
    <w:rPr>
      <w:rFonts w:ascii="Calibri" w:eastAsia="Calibri" w:hAnsi="Calibri"/>
      <w:sz w:val="22"/>
      <w:szCs w:val="22"/>
      <w:lang w:val="ru-RU" w:eastAsia="en-US" w:bidi="ar-SA"/>
    </w:rPr>
  </w:style>
  <w:style w:type="paragraph" w:styleId="ae">
    <w:name w:val="No Spacing"/>
    <w:qFormat/>
    <w:rsid w:val="0045174C"/>
    <w:rPr>
      <w:sz w:val="22"/>
      <w:szCs w:val="22"/>
      <w:lang w:val="ru-RU" w:eastAsia="en-US"/>
    </w:rPr>
  </w:style>
  <w:style w:type="paragraph" w:customStyle="1" w:styleId="ConsPlusNormal">
    <w:name w:val="ConsPlusNormal"/>
    <w:rsid w:val="00E86E04"/>
    <w:pPr>
      <w:widowControl w:val="0"/>
      <w:autoSpaceDE w:val="0"/>
      <w:autoSpaceDN w:val="0"/>
    </w:pPr>
    <w:rPr>
      <w:rFonts w:ascii="Times New Roman" w:eastAsia="Times New Roman" w:hAnsi="Times New Roman"/>
      <w:sz w:val="28"/>
      <w:lang w:val="ru-RU" w:eastAsia="ru-RU"/>
    </w:rPr>
  </w:style>
  <w:style w:type="paragraph" w:styleId="af">
    <w:name w:val="Plain Text"/>
    <w:basedOn w:val="a"/>
    <w:unhideWhenUsed/>
    <w:rsid w:val="00A8103E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0">
    <w:name w:val="Balloon Text"/>
    <w:basedOn w:val="a"/>
    <w:semiHidden/>
    <w:rsid w:val="0010085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0B65-A5B7-431D-8C26-A95BD805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