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EAEA" w14:textId="77777777" w:rsidR="00B972DB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right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3A40F7">
        <w:rPr>
          <w:rFonts w:ascii="Times New Roman" w:hAnsi="Times New Roman"/>
          <w:b/>
          <w:sz w:val="26"/>
          <w:szCs w:val="26"/>
          <w:highlight w:val="white"/>
        </w:rPr>
        <w:t>№ 4г/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5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-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13604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/2016</w:t>
      </w:r>
    </w:p>
    <w:p w14:paraId="251CF7F0" w14:textId="77777777" w:rsidR="00F800E0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right"/>
        <w:rPr>
          <w:rFonts w:ascii="Times New Roman" w:hAnsi="Times New Roman"/>
          <w:b/>
          <w:sz w:val="26"/>
          <w:szCs w:val="26"/>
        </w:rPr>
      </w:pPr>
    </w:p>
    <w:p w14:paraId="63607F5D" w14:textId="77777777" w:rsidR="00B972DB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spacing w:val="40"/>
          <w:sz w:val="26"/>
          <w:szCs w:val="26"/>
        </w:rPr>
      </w:pPr>
      <w:r w:rsidRPr="003A40F7">
        <w:rPr>
          <w:rFonts w:ascii="Times New Roman" w:hAnsi="Times New Roman"/>
          <w:b/>
          <w:spacing w:val="40"/>
          <w:sz w:val="26"/>
          <w:szCs w:val="26"/>
          <w:highlight w:val="white"/>
        </w:rPr>
        <w:t>ОПРЕДЕЛЕНИЕ</w:t>
      </w:r>
    </w:p>
    <w:p w14:paraId="0802F013" w14:textId="77777777" w:rsidR="00F800E0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bCs/>
          <w:sz w:val="26"/>
          <w:szCs w:val="26"/>
        </w:rPr>
      </w:pPr>
    </w:p>
    <w:p w14:paraId="73C0C1D8" w14:textId="77777777" w:rsidR="00B972DB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>25 ноября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>201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>6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г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ода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    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     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                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                                 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г. Москва</w:t>
      </w:r>
    </w:p>
    <w:p w14:paraId="44D97D78" w14:textId="77777777" w:rsidR="00B972DB" w:rsidRPr="003A40F7" w:rsidRDefault="00AD361B" w:rsidP="003A40F7">
      <w:pPr>
        <w:tabs>
          <w:tab w:val="left" w:pos="3240"/>
        </w:tabs>
        <w:autoSpaceDN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6AF4420" w14:textId="77777777" w:rsidR="00552A88" w:rsidRPr="003A40F7" w:rsidRDefault="00AD361B" w:rsidP="003A40F7">
      <w:pPr>
        <w:pStyle w:val="2"/>
        <w:ind w:left="0"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 xml:space="preserve">Судья Московского городского суда </w:t>
      </w:r>
      <w:r w:rsidRPr="003A40F7">
        <w:rPr>
          <w:sz w:val="26"/>
          <w:szCs w:val="26"/>
          <w:highlight w:val="white"/>
        </w:rPr>
        <w:t>Магжанова Э.А.</w:t>
      </w:r>
      <w:r w:rsidRPr="003A40F7">
        <w:rPr>
          <w:sz w:val="26"/>
          <w:szCs w:val="26"/>
          <w:highlight w:val="white"/>
        </w:rPr>
        <w:t xml:space="preserve">, изучив </w:t>
      </w:r>
      <w:r w:rsidRPr="003A40F7">
        <w:rPr>
          <w:sz w:val="26"/>
          <w:szCs w:val="26"/>
          <w:highlight w:val="white"/>
        </w:rPr>
        <w:t xml:space="preserve">кассационную </w:t>
      </w:r>
      <w:r w:rsidRPr="003A40F7">
        <w:rPr>
          <w:sz w:val="26"/>
          <w:szCs w:val="26"/>
          <w:highlight w:val="white"/>
        </w:rPr>
        <w:t>жалобу</w:t>
      </w:r>
      <w:r w:rsidRPr="003A40F7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Э.</w:t>
      </w:r>
      <w:r w:rsidRPr="003A40F7">
        <w:rPr>
          <w:sz w:val="26"/>
          <w:szCs w:val="26"/>
          <w:highlight w:val="white"/>
        </w:rPr>
        <w:t>,</w:t>
      </w:r>
      <w:r w:rsidRPr="003A40F7">
        <w:rPr>
          <w:sz w:val="26"/>
          <w:szCs w:val="26"/>
          <w:highlight w:val="white"/>
        </w:rPr>
        <w:t xml:space="preserve"> поступившую в Московский гор</w:t>
      </w:r>
      <w:r w:rsidRPr="003A40F7">
        <w:rPr>
          <w:sz w:val="26"/>
          <w:szCs w:val="26"/>
          <w:highlight w:val="white"/>
        </w:rPr>
        <w:t xml:space="preserve">одской суд </w:t>
      </w:r>
      <w:r w:rsidRPr="003A40F7">
        <w:rPr>
          <w:sz w:val="26"/>
          <w:szCs w:val="26"/>
          <w:highlight w:val="white"/>
        </w:rPr>
        <w:t>27.10</w:t>
      </w:r>
      <w:r w:rsidRPr="003A40F7">
        <w:rPr>
          <w:sz w:val="26"/>
          <w:szCs w:val="26"/>
          <w:highlight w:val="white"/>
        </w:rPr>
        <w:t>.2016</w:t>
      </w:r>
      <w:r w:rsidRPr="003A40F7">
        <w:rPr>
          <w:sz w:val="26"/>
          <w:szCs w:val="26"/>
          <w:highlight w:val="white"/>
        </w:rPr>
        <w:t xml:space="preserve"> г., на </w:t>
      </w:r>
      <w:r w:rsidRPr="003A40F7">
        <w:rPr>
          <w:sz w:val="26"/>
          <w:szCs w:val="26"/>
          <w:highlight w:val="white"/>
        </w:rPr>
        <w:t xml:space="preserve">решение </w:t>
      </w:r>
      <w:r w:rsidRPr="003A40F7">
        <w:rPr>
          <w:sz w:val="26"/>
          <w:szCs w:val="26"/>
          <w:highlight w:val="white"/>
        </w:rPr>
        <w:t>Дорогомиловского</w:t>
      </w:r>
      <w:r w:rsidRPr="003A40F7">
        <w:rPr>
          <w:sz w:val="26"/>
          <w:szCs w:val="26"/>
          <w:highlight w:val="white"/>
        </w:rPr>
        <w:t xml:space="preserve"> районного суда г. Москвы от </w:t>
      </w:r>
      <w:r>
        <w:rPr>
          <w:sz w:val="26"/>
          <w:szCs w:val="26"/>
          <w:highlight w:val="white"/>
        </w:rPr>
        <w:t>***</w:t>
      </w:r>
      <w:r w:rsidRPr="003A40F7">
        <w:rPr>
          <w:sz w:val="26"/>
          <w:szCs w:val="26"/>
          <w:highlight w:val="white"/>
        </w:rPr>
        <w:t xml:space="preserve"> г.</w:t>
      </w:r>
      <w:r w:rsidRPr="003A40F7">
        <w:rPr>
          <w:sz w:val="26"/>
          <w:szCs w:val="26"/>
          <w:highlight w:val="white"/>
        </w:rPr>
        <w:t xml:space="preserve"> </w:t>
      </w:r>
      <w:r w:rsidRPr="003A40F7">
        <w:rPr>
          <w:sz w:val="26"/>
          <w:szCs w:val="26"/>
          <w:highlight w:val="white"/>
        </w:rPr>
        <w:t xml:space="preserve">и апелляционное определение судебной коллегии по гражданским делам Московского городского суда от </w:t>
      </w:r>
      <w:r>
        <w:rPr>
          <w:sz w:val="26"/>
          <w:szCs w:val="26"/>
          <w:highlight w:val="white"/>
        </w:rPr>
        <w:t>***</w:t>
      </w:r>
      <w:r w:rsidRPr="003A40F7">
        <w:rPr>
          <w:sz w:val="26"/>
          <w:szCs w:val="26"/>
          <w:highlight w:val="white"/>
        </w:rPr>
        <w:t xml:space="preserve"> г. </w:t>
      </w:r>
      <w:r w:rsidRPr="003A40F7">
        <w:rPr>
          <w:sz w:val="26"/>
          <w:szCs w:val="26"/>
          <w:highlight w:val="white"/>
        </w:rPr>
        <w:t>по гражданскому делу по иску</w:t>
      </w:r>
      <w:r w:rsidRPr="003A40F7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Э.</w:t>
      </w:r>
      <w:r w:rsidRPr="003A40F7">
        <w:rPr>
          <w:sz w:val="26"/>
          <w:szCs w:val="26"/>
          <w:highlight w:val="white"/>
        </w:rPr>
        <w:t xml:space="preserve"> к ПАО «Сбербанк России» о взыс</w:t>
      </w:r>
      <w:r w:rsidRPr="003A40F7">
        <w:rPr>
          <w:sz w:val="26"/>
          <w:szCs w:val="26"/>
          <w:highlight w:val="white"/>
        </w:rPr>
        <w:t>кании денежных средств, компенсации морального вреда</w:t>
      </w:r>
      <w:r w:rsidRPr="003A40F7">
        <w:rPr>
          <w:sz w:val="26"/>
          <w:szCs w:val="26"/>
          <w:highlight w:val="white"/>
        </w:rPr>
        <w:t>,</w:t>
      </w:r>
    </w:p>
    <w:p w14:paraId="6CD5702A" w14:textId="77777777" w:rsidR="009748B5" w:rsidRPr="003A40F7" w:rsidRDefault="00AD361B" w:rsidP="003A40F7">
      <w:pPr>
        <w:pStyle w:val="2"/>
        <w:tabs>
          <w:tab w:val="left" w:pos="5460"/>
        </w:tabs>
        <w:ind w:left="0"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 xml:space="preserve"> </w:t>
      </w:r>
      <w:r w:rsidRPr="003A40F7">
        <w:rPr>
          <w:sz w:val="26"/>
          <w:szCs w:val="26"/>
          <w:highlight w:val="white"/>
        </w:rPr>
        <w:t xml:space="preserve"> </w:t>
      </w:r>
      <w:r w:rsidRPr="003A40F7">
        <w:rPr>
          <w:sz w:val="26"/>
          <w:szCs w:val="26"/>
          <w:highlight w:val="white"/>
        </w:rPr>
        <w:tab/>
      </w:r>
    </w:p>
    <w:p w14:paraId="533CF4B7" w14:textId="77777777" w:rsidR="00B0103B" w:rsidRPr="003A40F7" w:rsidRDefault="00AD361B" w:rsidP="003A40F7">
      <w:pPr>
        <w:suppressAutoHyphens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6"/>
          <w:szCs w:val="26"/>
        </w:rPr>
      </w:pP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 xml:space="preserve">  </w:t>
      </w:r>
      <w:r w:rsidRPr="003A40F7">
        <w:rPr>
          <w:rFonts w:ascii="Times New Roman" w:hAnsi="Times New Roman"/>
          <w:b/>
          <w:bCs/>
          <w:sz w:val="26"/>
          <w:szCs w:val="26"/>
          <w:highlight w:val="white"/>
        </w:rPr>
        <w:t>у с т а н о в и л:</w:t>
      </w:r>
    </w:p>
    <w:p w14:paraId="6484FB40" w14:textId="77777777" w:rsidR="009748B5" w:rsidRPr="003A40F7" w:rsidRDefault="00AD361B" w:rsidP="003A40F7">
      <w:pPr>
        <w:suppressAutoHyphens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CA7C03B" w14:textId="77777777" w:rsidR="00720F84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обратилась в суд с иском к ПАО «Сбербанк России» о взыскании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руб., компенсации морального вреда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</w:t>
      </w:r>
    </w:p>
    <w:p w14:paraId="2A868C8C" w14:textId="77777777" w:rsidR="00904A75" w:rsidRPr="003A40F7" w:rsidRDefault="00AD361B" w:rsidP="003A40F7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Требования мотивированы те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м, что истец является держателем банковских карт ПАО «Сбербанк России» MasterCard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на основании договора банковского обслуживания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от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в результате мошеннических действий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по телефону неизвестному лицу удалось узнать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у нее идентификатор и пароль для доступа в Сбербанк-онлайн. В этот момент истец находилась в отделении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анка Сбербанк Первый по адресу: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где у нее была назначена встреча с клиентским менеджером </w:t>
      </w:r>
      <w:r>
        <w:rPr>
          <w:rFonts w:ascii="Times New Roman" w:hAnsi="Times New Roman"/>
          <w:sz w:val="26"/>
          <w:szCs w:val="26"/>
          <w:highlight w:val="white"/>
        </w:rPr>
        <w:t>К.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Сразу после разговора по телефону истец осознала, что с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овершила ошибку и незамедлительно попросила менеджера </w:t>
      </w:r>
      <w:r>
        <w:rPr>
          <w:rFonts w:ascii="Times New Roman" w:hAnsi="Times New Roman"/>
          <w:sz w:val="26"/>
          <w:szCs w:val="26"/>
          <w:highlight w:val="white"/>
        </w:rPr>
        <w:t>К.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сотрудника кассы </w:t>
      </w:r>
      <w:r>
        <w:rPr>
          <w:rFonts w:ascii="Times New Roman" w:hAnsi="Times New Roman"/>
          <w:sz w:val="26"/>
          <w:szCs w:val="26"/>
          <w:highlight w:val="white"/>
        </w:rPr>
        <w:t>А.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заблокировать все счета. В течение всего этого времени у истца на мобильном телефоне было открыто приложение Сбербанк Онлайн и истец могла видеть, что происходит с ее счетами/ка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ртами. В момент, когда истец обратилась к менеджеру, похищенные денежные средства еще находились на счете. Менеджер предложил получить новые идентификатор и пароль для Онлайн доступа, после чего кассир </w:t>
      </w:r>
      <w:r>
        <w:rPr>
          <w:rFonts w:ascii="Times New Roman" w:hAnsi="Times New Roman"/>
          <w:sz w:val="26"/>
          <w:szCs w:val="26"/>
          <w:highlight w:val="white"/>
        </w:rPr>
        <w:t>А.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заблокировала карту истца MasterCard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. Кассир </w:t>
      </w:r>
      <w:r w:rsidRPr="003A40F7">
        <w:rPr>
          <w:rFonts w:ascii="Times New Roman" w:hAnsi="Times New Roman"/>
          <w:sz w:val="26"/>
          <w:szCs w:val="26"/>
          <w:highlight w:val="white"/>
        </w:rPr>
        <w:t>сообщила, что через ее систему блокировка проходит спустя некоторое время и необходимо звонить в контактный центр, чтобы подтвердить блокировку карты и заблокировать Онлайн профиль. В момент, когда истец звонила в контактный центр, истец увидела, что средс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тва с ее счета «Управляй-Онл@йн»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переведены на карту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, которой истец никогда не пользовалась. Истец попросила заблокировать и этот счет, но получила ответ, что они сделать ничего не могут, необходимо блокировать через контак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тный центр. После блокировки через контактный центр менеджер </w:t>
      </w:r>
      <w:r>
        <w:rPr>
          <w:rFonts w:ascii="Times New Roman" w:hAnsi="Times New Roman"/>
          <w:sz w:val="26"/>
          <w:szCs w:val="26"/>
          <w:highlight w:val="white"/>
        </w:rPr>
        <w:t>К.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проинформировал истца, что мошенники закрыли счет истца «Управляй-Онл@йн»  с процентной ставкой 9,55%; средства с этого счета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перевели на карту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, а затем на сво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ю карту перевели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руб., с депозита в долларах США перевели проценты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долларов США на карту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перевели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с карты истца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на мобильный телефон +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. Таким образом, с карты истца были похищены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и в резул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ьтате досрочного закрытия вклада утеряны проценты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Истец согласия на перевод денежных средств не давала, находилась в отделении банка и в течение двух минут проинформировала о мошенничестве менеджера и кассира банка. Менеджер и кассир не </w:t>
      </w:r>
      <w:r w:rsidRPr="003A40F7">
        <w:rPr>
          <w:rFonts w:ascii="Times New Roman" w:hAnsi="Times New Roman"/>
          <w:sz w:val="26"/>
          <w:szCs w:val="26"/>
          <w:highlight w:val="white"/>
        </w:rPr>
        <w:t>предприняли правильные и своевременные действия в указанной ситуации и вместо того, чтобы звонить в контактный центр и блокировать Онлайн профиль истца, сначала бросились к банкомату для получения новых идентификатора и пароля, затем стали блокировать карт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у MasterCard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лишь затем звонить в контактный центр для блокировки профиля. За это время мошенники воспользовались другой картой истца, которую </w:t>
      </w:r>
      <w:r w:rsidRPr="003A40F7">
        <w:rPr>
          <w:rFonts w:ascii="Times New Roman" w:hAnsi="Times New Roman"/>
          <w:sz w:val="26"/>
          <w:szCs w:val="26"/>
          <w:highlight w:val="white"/>
        </w:rPr>
        <w:lastRenderedPageBreak/>
        <w:t>никто не подумал блокировать. Банковские карты истца были заблокированы только спустя 20 – 30 минут, этог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о времени мошенникам хватило для снятия денежных средств. В тот же день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истец подала в банк заявление о возмещении ущерба, в удовлетворении которого ответчик отказал.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истец обратилась с заявлением о возбуждении уголовного дела в ОВД «Арбат».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истец написала повторное заявление в головной офис ПАО «Сбербанк», но повторно получила отказ. Истец надлежащим образом и своевременно в соответствии с ч. 11 ст. 9 ФЗ «О национальной платежной системе» уведомила Банк об утрате идентификатора и парол</w:t>
      </w:r>
      <w:r w:rsidRPr="003A40F7">
        <w:rPr>
          <w:rFonts w:ascii="Times New Roman" w:hAnsi="Times New Roman"/>
          <w:sz w:val="26"/>
          <w:szCs w:val="26"/>
          <w:highlight w:val="white"/>
        </w:rPr>
        <w:t>я до совершения мошеннических действий с картой и попросила заблокировать счета и карты, в связи с чем полагает, что на основании ч. 12 ст. 9 указанного Федерального закона Банк обязан возместить сумму операций, совершенных без согласия истца после получен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ия соответствующего уведомления. Действиями ответчика истцу причинен моральный вред, который она оценивает в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</w:t>
      </w:r>
    </w:p>
    <w:p w14:paraId="06CAAD08" w14:textId="77777777" w:rsidR="00BE0E7A" w:rsidRPr="003A40F7" w:rsidRDefault="00AD361B" w:rsidP="003A40F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Решением </w:t>
      </w:r>
      <w:r w:rsidRPr="003A40F7">
        <w:rPr>
          <w:rFonts w:ascii="Times New Roman" w:hAnsi="Times New Roman"/>
          <w:sz w:val="26"/>
          <w:szCs w:val="26"/>
          <w:highlight w:val="white"/>
        </w:rPr>
        <w:t>Дорогомиловского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</w:t>
      </w:r>
      <w:r w:rsidRPr="003A40F7">
        <w:rPr>
          <w:rFonts w:ascii="Times New Roman" w:hAnsi="Times New Roman"/>
          <w:sz w:val="26"/>
          <w:szCs w:val="26"/>
          <w:highlight w:val="white"/>
        </w:rPr>
        <w:t>, оставленным без изменения апелляционным определением судебной коллегии по гр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ажданским делам Московского городского суда от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в удовлетворении заявленных требований отказано.</w:t>
      </w:r>
    </w:p>
    <w:p w14:paraId="285CBB0A" w14:textId="77777777" w:rsidR="009160FC" w:rsidRPr="003A40F7" w:rsidRDefault="00AD361B" w:rsidP="003A40F7">
      <w:pPr>
        <w:pStyle w:val="2"/>
        <w:ind w:left="0"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 xml:space="preserve">В кассационной жалобе </w:t>
      </w:r>
      <w:r w:rsidRPr="003A40F7">
        <w:rPr>
          <w:sz w:val="26"/>
          <w:szCs w:val="26"/>
          <w:highlight w:val="white"/>
        </w:rPr>
        <w:t>заявител</w:t>
      </w:r>
      <w:r w:rsidRPr="003A40F7">
        <w:rPr>
          <w:sz w:val="26"/>
          <w:szCs w:val="26"/>
          <w:highlight w:val="white"/>
        </w:rPr>
        <w:t>ем</w:t>
      </w:r>
      <w:r w:rsidRPr="003A40F7">
        <w:rPr>
          <w:sz w:val="26"/>
          <w:szCs w:val="26"/>
          <w:highlight w:val="white"/>
        </w:rPr>
        <w:t xml:space="preserve"> </w:t>
      </w:r>
      <w:r w:rsidRPr="003A40F7">
        <w:rPr>
          <w:sz w:val="26"/>
          <w:szCs w:val="26"/>
          <w:highlight w:val="white"/>
        </w:rPr>
        <w:t>ставится вопрос об</w:t>
      </w:r>
      <w:r w:rsidRPr="003A40F7">
        <w:rPr>
          <w:sz w:val="26"/>
          <w:szCs w:val="26"/>
          <w:highlight w:val="white"/>
        </w:rPr>
        <w:t xml:space="preserve"> отмене </w:t>
      </w:r>
      <w:r w:rsidRPr="003A40F7">
        <w:rPr>
          <w:sz w:val="26"/>
          <w:szCs w:val="26"/>
          <w:highlight w:val="white"/>
        </w:rPr>
        <w:t>вышеуказанных судебных постановлений и принятии нового решения</w:t>
      </w:r>
      <w:r w:rsidRPr="003A40F7">
        <w:rPr>
          <w:sz w:val="26"/>
          <w:szCs w:val="26"/>
          <w:highlight w:val="white"/>
        </w:rPr>
        <w:t>.</w:t>
      </w:r>
    </w:p>
    <w:p w14:paraId="08802BC7" w14:textId="77777777" w:rsidR="009160FC" w:rsidRPr="003A40F7" w:rsidRDefault="00AD361B" w:rsidP="003A40F7">
      <w:pPr>
        <w:pStyle w:val="2"/>
        <w:ind w:left="0"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>В соответствии с ч. 2 ст. 381</w:t>
      </w:r>
      <w:r w:rsidRPr="003A40F7">
        <w:rPr>
          <w:sz w:val="26"/>
          <w:szCs w:val="26"/>
          <w:highlight w:val="white"/>
        </w:rPr>
        <w:t xml:space="preserve"> ГПК РФ по результатам изучения кассационной жалобы или представления прокурора судья выносит определение:</w:t>
      </w:r>
    </w:p>
    <w:p w14:paraId="381C2D29" w14:textId="77777777" w:rsidR="009160FC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1) 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об отказе в передаче кассационных жалобы, представления для рассмотрения в судебном заседании суда кассационной инстанции, если отсутствуют основа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2BFD5CC1" w14:textId="77777777" w:rsidR="009160FC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2) о передаче кассационных жалобы, представления с делом </w:t>
      </w:r>
      <w:r w:rsidRPr="003A40F7">
        <w:rPr>
          <w:rFonts w:ascii="Times New Roman" w:hAnsi="Times New Roman"/>
          <w:sz w:val="26"/>
          <w:szCs w:val="26"/>
          <w:highlight w:val="white"/>
        </w:rPr>
        <w:t>для рассмотрения в судебном заседании суда кассационной инстанции.</w:t>
      </w:r>
    </w:p>
    <w:p w14:paraId="31DC304E" w14:textId="77777777" w:rsidR="009160FC" w:rsidRPr="003A40F7" w:rsidRDefault="00AD361B" w:rsidP="003A40F7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 (ст. 387 ГПК РФ). </w:t>
      </w:r>
    </w:p>
    <w:p w14:paraId="6735F228" w14:textId="77777777" w:rsidR="00AE0416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По результатам изучения кассационной жалобы существенных наруше</w:t>
      </w:r>
      <w:r w:rsidRPr="003A40F7">
        <w:rPr>
          <w:rFonts w:ascii="Times New Roman" w:hAnsi="Times New Roman"/>
          <w:sz w:val="26"/>
          <w:szCs w:val="26"/>
          <w:highlight w:val="white"/>
        </w:rPr>
        <w:t>ний норм материального и процессуального права, допущенных судами первой и апелляционной инстанций при принятии судебных постановлений, обжалуемых заявителем в настоящей жалобе, не установлено, в связи с чем не имеется оснований для передачи указанной жало</w:t>
      </w:r>
      <w:r w:rsidRPr="003A40F7">
        <w:rPr>
          <w:rFonts w:ascii="Times New Roman" w:hAnsi="Times New Roman"/>
          <w:sz w:val="26"/>
          <w:szCs w:val="26"/>
          <w:highlight w:val="white"/>
        </w:rPr>
        <w:t>бы для рассмотрения в судебном заседании суда кассационной инстанции.</w:t>
      </w:r>
    </w:p>
    <w:p w14:paraId="1B97CFDC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kern w:val="24"/>
          <w:sz w:val="26"/>
          <w:szCs w:val="26"/>
          <w:highlight w:val="white"/>
        </w:rPr>
        <w:t>Судом</w:t>
      </w:r>
      <w:r w:rsidRPr="003A40F7">
        <w:rPr>
          <w:rFonts w:ascii="Times New Roman" w:hAnsi="Times New Roman"/>
          <w:kern w:val="24"/>
          <w:sz w:val="26"/>
          <w:szCs w:val="26"/>
          <w:highlight w:val="white"/>
        </w:rPr>
        <w:t xml:space="preserve"> установлено</w:t>
      </w:r>
      <w:r w:rsidRPr="003A40F7">
        <w:rPr>
          <w:rFonts w:ascii="Times New Roman" w:hAnsi="Times New Roman"/>
          <w:kern w:val="24"/>
          <w:sz w:val="26"/>
          <w:szCs w:val="26"/>
          <w:highlight w:val="white"/>
        </w:rPr>
        <w:t xml:space="preserve">, что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между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ПАО «Сбербанк России» заключен договор банковского обслуживания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.</w:t>
      </w:r>
    </w:p>
    <w:p w14:paraId="2A0DF0E8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Действие договора ДБО распространяется на счета карт, открытые как до, так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услуги. </w:t>
      </w:r>
    </w:p>
    <w:p w14:paraId="73DFC0C8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По счету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(Maestro Мomentum), открытому в Московском банке ПАО Сбербанк на имя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была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выдана карта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.</w:t>
      </w:r>
    </w:p>
    <w:p w14:paraId="69F3A3F4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Также истец разместила денежные средства в ПАО Сбербанк на банковский вклад «Управляй-Онл@йн», по которому был открыт счет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.</w:t>
      </w:r>
    </w:p>
    <w:p w14:paraId="42E5A5AD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lastRenderedPageBreak/>
        <w:t>Основанием для предоставления услуг проведения банковских операций в системе Сбербанк Онл@йн явля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ется подключение клиента к указанной системе путем получения идентификатора и постоянного пароля (через устройство самообслуживания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анка с использованием карты и вводом ПИНа, самостоятельно через удаленную регистрацию на сайте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>анка или через контактный ц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ентр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>анка).</w:t>
      </w:r>
    </w:p>
    <w:p w14:paraId="7F11B61C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Услуги предоставляются при условии положительной идентификации и аутентификации </w:t>
      </w:r>
      <w:r>
        <w:rPr>
          <w:rFonts w:ascii="Times New Roman" w:hAnsi="Times New Roman"/>
          <w:sz w:val="26"/>
          <w:szCs w:val="26"/>
          <w:highlight w:val="white"/>
        </w:rPr>
        <w:t>к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лиента на основании идентификатора пользователя и постоянного пароля. </w:t>
      </w:r>
    </w:p>
    <w:p w14:paraId="65844F53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минут истцом с использованием устройства самообслуживания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(с испол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ьзованием карты и ПИН-кода) дано поручение Банку на подключение карты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к мобильному банку с указанием номера моби</w:t>
      </w:r>
      <w:r w:rsidRPr="003A40F7">
        <w:rPr>
          <w:rFonts w:ascii="Times New Roman" w:hAnsi="Times New Roman"/>
          <w:sz w:val="26"/>
          <w:szCs w:val="26"/>
          <w:highlight w:val="white"/>
        </w:rPr>
        <w:t>льного телефона 8 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а также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дано поручение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анку на подключение карты MasterCard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к мобильному банку с указанием номера мо</w:t>
      </w:r>
      <w:r w:rsidRPr="003A40F7">
        <w:rPr>
          <w:rFonts w:ascii="Times New Roman" w:hAnsi="Times New Roman"/>
          <w:sz w:val="26"/>
          <w:szCs w:val="26"/>
          <w:highlight w:val="white"/>
        </w:rPr>
        <w:t>бильного телефона 8 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.</w:t>
      </w:r>
    </w:p>
    <w:p w14:paraId="1FE4066F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минут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через банкомат с использованием карты и вводом ПИН-кода получены идентификатор пользователя и постоянный пароль, дающие возможность подключения к системе Сбербанк Онл@йн.</w:t>
      </w:r>
    </w:p>
    <w:p w14:paraId="09D79DA7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минуты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с использ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ованием идентификатора и постоянного пароля был осуществлен вход в систему Сбербанк Онл@йн, о чем клиенту направлено СМС-сообщение на номер телефона, подключенного к мобильному банку, и дано распоряжение о перечислении денежных средств. </w:t>
      </w:r>
    </w:p>
    <w:p w14:paraId="2FC7D487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Во исполнение п. 3</w:t>
      </w:r>
      <w:r w:rsidRPr="003A40F7">
        <w:rPr>
          <w:rFonts w:ascii="Times New Roman" w:hAnsi="Times New Roman"/>
          <w:sz w:val="26"/>
          <w:szCs w:val="26"/>
          <w:highlight w:val="white"/>
        </w:rPr>
        <w:t>.8 Условий Приложения № 4 о дополнительной аутентификации клиента вход подтвержден одноразовым СМС-паролем, направленным истцу на номер мобильного телефона, подключенного к системе «Моб</w:t>
      </w:r>
      <w:r w:rsidRPr="003A40F7">
        <w:rPr>
          <w:rFonts w:ascii="Times New Roman" w:hAnsi="Times New Roman"/>
          <w:sz w:val="26"/>
          <w:szCs w:val="26"/>
          <w:highlight w:val="white"/>
        </w:rPr>
        <w:t>ильный банк» 8 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и 8 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минуты</w:t>
      </w:r>
      <w:r w:rsidRPr="003A40F7">
        <w:rPr>
          <w:rFonts w:ascii="Times New Roman" w:hAnsi="Times New Roman"/>
          <w:sz w:val="26"/>
          <w:szCs w:val="26"/>
          <w:highlight w:val="white"/>
        </w:rPr>
        <w:t>.</w:t>
      </w:r>
    </w:p>
    <w:p w14:paraId="2031161D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г. через систему Сбе</w:t>
      </w:r>
      <w:r w:rsidRPr="003A40F7">
        <w:rPr>
          <w:rFonts w:ascii="Times New Roman" w:hAnsi="Times New Roman"/>
          <w:sz w:val="26"/>
          <w:szCs w:val="26"/>
          <w:highlight w:val="white"/>
        </w:rPr>
        <w:t>рбанк Онл@йн были проведены следующие операции:</w:t>
      </w:r>
    </w:p>
    <w:p w14:paraId="162A0C90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Операция по списанию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со счета вклада «Управляй Онл@йн»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принадлежащего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на счет карты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принадлежащей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>, с последующим закрытием указанного вклада.</w:t>
      </w:r>
    </w:p>
    <w:p w14:paraId="6630A25D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Оп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ерация по списанию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с комиссией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руб. со счета карты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принадлежащей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на карту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>, принадлежащую третьему лицу. Операция была проведена с использованием одноразовых паролей, подтвержденных СМС-сообщен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иями, т.е. по распоряжению клиента. </w:t>
      </w:r>
    </w:p>
    <w:p w14:paraId="72D1B082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Операция по списанию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долларов США со счета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(вклад «Особый Пополняй»), принадлежащего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на карту №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принадлежащую </w:t>
      </w:r>
      <w:r>
        <w:rPr>
          <w:rFonts w:ascii="Times New Roman" w:hAnsi="Times New Roman"/>
          <w:sz w:val="26"/>
          <w:szCs w:val="26"/>
          <w:highlight w:val="white"/>
        </w:rPr>
        <w:t>Э.</w:t>
      </w:r>
    </w:p>
    <w:p w14:paraId="716D6C8D" w14:textId="77777777" w:rsidR="005C0E1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Операция по списанию денежных средств в размере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уб. со счета карты Maestro №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принадлежащей </w:t>
      </w:r>
      <w:r>
        <w:rPr>
          <w:rFonts w:ascii="Times New Roman" w:hAnsi="Times New Roman"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в счет оплаты услуг оператора сотовой связи. Операция была проведена с использованием одноразовых паролей, подтвержденных СМС-сообщениями, т.е. по распоряжению клиента. </w:t>
      </w:r>
    </w:p>
    <w:p w14:paraId="0DEA4AD9" w14:textId="77777777" w:rsidR="00480E93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Суд первой инстанции, оценив предст</w:t>
      </w:r>
      <w:r w:rsidRPr="003A40F7">
        <w:rPr>
          <w:rFonts w:ascii="Times New Roman" w:hAnsi="Times New Roman"/>
          <w:sz w:val="26"/>
          <w:szCs w:val="26"/>
          <w:highlight w:val="white"/>
        </w:rPr>
        <w:t>авленные доказательства в их совокупности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по правилам </w:t>
      </w:r>
      <w:hyperlink r:id="rId8" w:history="1">
        <w:r w:rsidRPr="003A40F7">
          <w:rPr>
            <w:rFonts w:ascii="Times New Roman" w:hAnsi="Times New Roman"/>
            <w:sz w:val="26"/>
            <w:szCs w:val="26"/>
            <w:highlight w:val="white"/>
          </w:rPr>
          <w:t>ст.ст.12</w:t>
        </w:r>
      </w:hyperlink>
      <w:r w:rsidRPr="003A40F7">
        <w:rPr>
          <w:rFonts w:ascii="Times New Roman" w:hAnsi="Times New Roman"/>
          <w:sz w:val="26"/>
          <w:szCs w:val="26"/>
          <w:highlight w:val="white"/>
        </w:rPr>
        <w:t xml:space="preserve">, </w:t>
      </w:r>
      <w:hyperlink r:id="rId9" w:history="1">
        <w:r w:rsidRPr="003A40F7">
          <w:rPr>
            <w:rFonts w:ascii="Times New Roman" w:hAnsi="Times New Roman"/>
            <w:sz w:val="26"/>
            <w:szCs w:val="26"/>
            <w:highlight w:val="white"/>
          </w:rPr>
          <w:t>56</w:t>
        </w:r>
      </w:hyperlink>
      <w:r w:rsidRPr="003A40F7">
        <w:rPr>
          <w:rFonts w:ascii="Times New Roman" w:hAnsi="Times New Roman"/>
          <w:sz w:val="26"/>
          <w:szCs w:val="26"/>
          <w:highlight w:val="white"/>
        </w:rPr>
        <w:t xml:space="preserve">, </w:t>
      </w:r>
      <w:hyperlink r:id="rId10" w:history="1">
        <w:r w:rsidRPr="003A40F7">
          <w:rPr>
            <w:rFonts w:ascii="Times New Roman" w:hAnsi="Times New Roman"/>
            <w:sz w:val="26"/>
            <w:szCs w:val="26"/>
            <w:highlight w:val="white"/>
          </w:rPr>
          <w:t>67</w:t>
        </w:r>
      </w:hyperlink>
      <w:r w:rsidRPr="003A40F7">
        <w:rPr>
          <w:rFonts w:ascii="Times New Roman" w:hAnsi="Times New Roman"/>
          <w:sz w:val="26"/>
          <w:szCs w:val="26"/>
          <w:highlight w:val="white"/>
        </w:rPr>
        <w:t xml:space="preserve"> ГПК РФ</w:t>
      </w:r>
      <w:r w:rsidRPr="003A40F7">
        <w:rPr>
          <w:rFonts w:ascii="Times New Roman" w:hAnsi="Times New Roman"/>
          <w:sz w:val="26"/>
          <w:szCs w:val="26"/>
          <w:highlight w:val="white"/>
        </w:rPr>
        <w:t>,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правомерно руководствуясь положениями </w:t>
      </w:r>
      <w:hyperlink r:id="rId11" w:history="1">
        <w:r w:rsidRPr="003A40F7">
          <w:rPr>
            <w:rFonts w:ascii="Times New Roman" w:hAnsi="Times New Roman"/>
            <w:sz w:val="26"/>
            <w:szCs w:val="26"/>
            <w:highlight w:val="white"/>
            <w:lang w:eastAsia="ru-RU"/>
          </w:rPr>
          <w:t>ст. ст. 845</w:t>
        </w:r>
      </w:hyperlink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, </w:t>
      </w:r>
      <w:hyperlink r:id="rId12" w:history="1">
        <w:r w:rsidRPr="003A40F7">
          <w:rPr>
            <w:rFonts w:ascii="Times New Roman" w:hAnsi="Times New Roman"/>
            <w:sz w:val="26"/>
            <w:szCs w:val="26"/>
            <w:highlight w:val="white"/>
            <w:lang w:eastAsia="ru-RU"/>
          </w:rPr>
          <w:t>847</w:t>
        </w:r>
      </w:hyperlink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ГК РФ, условиями договора банковского обслуживания,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допросив в судебном заседании в качестве свидетеля </w:t>
      </w:r>
      <w:r>
        <w:rPr>
          <w:rFonts w:ascii="Times New Roman" w:hAnsi="Times New Roman"/>
          <w:sz w:val="26"/>
          <w:szCs w:val="26"/>
          <w:highlight w:val="white"/>
        </w:rPr>
        <w:t>К.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</w:t>
      </w:r>
      <w:r w:rsidRPr="003A40F7">
        <w:rPr>
          <w:rFonts w:ascii="Times New Roman" w:hAnsi="Times New Roman"/>
          <w:sz w:val="26"/>
          <w:szCs w:val="26"/>
          <w:highlight w:val="white"/>
        </w:rPr>
        <w:t>из показаний которого следовало, что он являлся клиентским менеджером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Московского банка ПАО Сбербанк и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в момент, когда осуществлялась блокировк</w:t>
      </w:r>
      <w:r w:rsidRPr="003A40F7">
        <w:rPr>
          <w:rFonts w:ascii="Times New Roman" w:hAnsi="Times New Roman"/>
          <w:sz w:val="26"/>
          <w:szCs w:val="26"/>
          <w:highlight w:val="white"/>
        </w:rPr>
        <w:t>а карты через контактный центр, мошенники уже находились в системе Сбербанк ОнЛ@йн и производили операции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, </w:t>
      </w:r>
      <w:r w:rsidRPr="003A40F7">
        <w:rPr>
          <w:rFonts w:ascii="Times New Roman" w:hAnsi="Times New Roman"/>
          <w:spacing w:val="-2"/>
          <w:sz w:val="26"/>
          <w:szCs w:val="26"/>
          <w:highlight w:val="white"/>
        </w:rPr>
        <w:t xml:space="preserve">пришел к выводу о том, что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заявленные истцом требования не подлежат удовлетворению в связи с тем, что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 не имел оснований для отказа в проведении 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операций, поскольку введение одноразовых паролей, направленных Банком на номера телефонов, подключенных к услуге «Мобильный банк», является для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анка распоряжением на проведение операции, которое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>анк обязан выполнять.</w:t>
      </w:r>
    </w:p>
    <w:p w14:paraId="7046106A" w14:textId="77777777" w:rsidR="0054539C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Действие договора банковского обслужи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вания регулируется Условиями банковского о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бслуживания физических лиц ОАО «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Сбербанк России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»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и распространяется на счета карт, открытые как до, так и после заключения договора, а также на вклады и иные услуги (п. 1.10 Условий). Согласно п. 1.2 Условий клиент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у предоставляется возможность проведения банковских операций через удаленные каналы обслуживания, в частности систему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«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Сбербанк </w:t>
      </w:r>
      <w:r>
        <w:rPr>
          <w:rFonts w:ascii="Times New Roman" w:hAnsi="Times New Roman"/>
          <w:sz w:val="26"/>
          <w:szCs w:val="26"/>
          <w:highlight w:val="white"/>
        </w:rPr>
        <w:t>ОнЛ@йн»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.</w:t>
      </w:r>
    </w:p>
    <w:p w14:paraId="4AF0AB71" w14:textId="77777777" w:rsidR="0054539C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Согласно п. 3.6 Условий,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подключение Держателя к услуге «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Сбербанк </w:t>
      </w:r>
      <w:r>
        <w:rPr>
          <w:rFonts w:ascii="Times New Roman" w:hAnsi="Times New Roman"/>
          <w:sz w:val="26"/>
          <w:szCs w:val="26"/>
          <w:highlight w:val="white"/>
        </w:rPr>
        <w:t>ОнЛ@йн»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осуществляется при условии наличия у Держател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я действующе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й карты, подключенной к услуге «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Мобильный банк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»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.</w:t>
      </w:r>
    </w:p>
    <w:p w14:paraId="0DEDEE7D" w14:textId="77777777" w:rsidR="0054539C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В соответствии с п. 3.9 Условий (приложение № 4) Клиент соглашается с тем, что постоянный и одноразовый пароли являются аналогом собственноручной подписи. Электронные документы, подтвержденные по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стоянным и/или одноразовым паролем, признаются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анком и держателем равнозначными документам на бумажном носителе и могут служить доказательством в суде. Указанные документы являются основанием для проведения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>анком операций и могут подтверждать факт заключ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ения, исполнения, расторжения договоров и совершенных действий (сделок). Сделки, совершенные путем передачи в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 распоряжений </w:t>
      </w:r>
      <w:r>
        <w:rPr>
          <w:rFonts w:ascii="Times New Roman" w:hAnsi="Times New Roman"/>
          <w:sz w:val="26"/>
          <w:szCs w:val="26"/>
          <w:highlight w:val="white"/>
        </w:rPr>
        <w:t>к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лиента, подтвержденных с применением средств идентификации и аутентификации </w:t>
      </w:r>
      <w:r>
        <w:rPr>
          <w:rFonts w:ascii="Times New Roman" w:hAnsi="Times New Roman"/>
          <w:sz w:val="26"/>
          <w:szCs w:val="26"/>
          <w:highlight w:val="white"/>
        </w:rPr>
        <w:t>к</w:t>
      </w:r>
      <w:r w:rsidRPr="003A40F7">
        <w:rPr>
          <w:rFonts w:ascii="Times New Roman" w:hAnsi="Times New Roman"/>
          <w:sz w:val="26"/>
          <w:szCs w:val="26"/>
          <w:highlight w:val="white"/>
        </w:rPr>
        <w:t>лиента, предусмотренных ДБО, удовлетворяют требова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 </w:t>
      </w:r>
    </w:p>
    <w:p w14:paraId="7BE2DC1E" w14:textId="77777777" w:rsidR="0054539C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Клиент соглашается с тем, ч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то документальным подтверждением факта совершения им операции является протокол проведения операции в автоматизированной системе </w:t>
      </w:r>
      <w:r>
        <w:rPr>
          <w:rFonts w:ascii="Times New Roman" w:hAnsi="Times New Roman"/>
          <w:sz w:val="26"/>
          <w:szCs w:val="26"/>
          <w:highlight w:val="white"/>
        </w:rPr>
        <w:t>б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анка, подтверждающей корректную </w:t>
      </w:r>
      <w:r>
        <w:rPr>
          <w:rFonts w:ascii="Times New Roman" w:hAnsi="Times New Roman"/>
          <w:sz w:val="26"/>
          <w:szCs w:val="26"/>
          <w:highlight w:val="white"/>
        </w:rPr>
        <w:t>идентификацию и аутентификацию к</w:t>
      </w:r>
      <w:r w:rsidRPr="003A40F7">
        <w:rPr>
          <w:rFonts w:ascii="Times New Roman" w:hAnsi="Times New Roman"/>
          <w:sz w:val="26"/>
          <w:szCs w:val="26"/>
          <w:highlight w:val="white"/>
        </w:rPr>
        <w:t>лиента и совершение операций в такой системе.</w:t>
      </w:r>
    </w:p>
    <w:p w14:paraId="49235945" w14:textId="77777777" w:rsidR="0054539C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Клиент соглашает</w:t>
      </w:r>
      <w:r w:rsidRPr="003A40F7">
        <w:rPr>
          <w:rFonts w:ascii="Times New Roman" w:hAnsi="Times New Roman"/>
          <w:sz w:val="26"/>
          <w:szCs w:val="26"/>
          <w:highlight w:val="white"/>
        </w:rPr>
        <w:t>ся с получением услуг посредством системы Сбербанк Онл@йн через сеть Интернет, осознавая, что сеть Интернет не является безопасным каналом связи и соглашается нести финансовые риски (п. 3.10 Условий Приложение № 4).</w:t>
      </w:r>
    </w:p>
    <w:p w14:paraId="6C2474F8" w14:textId="77777777" w:rsidR="0054539C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Банк не несет ответственности (п. 3.19.2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Условий) за убытки, понесенные </w:t>
      </w:r>
      <w:r>
        <w:rPr>
          <w:rFonts w:ascii="Times New Roman" w:hAnsi="Times New Roman"/>
          <w:sz w:val="26"/>
          <w:szCs w:val="26"/>
          <w:highlight w:val="white"/>
        </w:rPr>
        <w:t>к</w:t>
      </w:r>
      <w:r w:rsidRPr="003A40F7">
        <w:rPr>
          <w:rFonts w:ascii="Times New Roman" w:hAnsi="Times New Roman"/>
          <w:sz w:val="26"/>
          <w:szCs w:val="26"/>
          <w:highlight w:val="white"/>
        </w:rPr>
        <w:t>лиентом в связи с неправомерными действиями третьих лиц.</w:t>
      </w:r>
    </w:p>
    <w:p w14:paraId="4DA8442E" w14:textId="77777777" w:rsidR="00A64604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Судом первой инстанции приняты во внимание условия, закрепленные в Приложении N 4 к Условиям договора банковского обслуживания ОАО «Сбербанк России» о том, что именно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клиент несет ответственность за передачу банку распоряжений и поручений через сеть Интернет, и соответственно несет все риски, связанные с возможным нарушением конфиденциальности, возникающие в связи с использованием такого канала связи.</w:t>
      </w:r>
    </w:p>
    <w:p w14:paraId="4B4C7CBD" w14:textId="77777777" w:rsidR="00A64604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Поскольку доводы 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истца о нарушении ответчиком ее прав как потребителя финансовых услуг не нашли своего подтверждения, во взыскании денежных средств, компенсации морального вреда было отказано.</w:t>
      </w:r>
    </w:p>
    <w:p w14:paraId="505A4B4E" w14:textId="77777777" w:rsidR="00D346F7" w:rsidRPr="003A40F7" w:rsidRDefault="00AD361B" w:rsidP="003A40F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eastAsia="Calibri" w:hAnsi="Times New Roman"/>
          <w:sz w:val="26"/>
          <w:szCs w:val="26"/>
          <w:highlight w:val="white"/>
        </w:rPr>
        <w:t>С данными выводами обосновано согласилась судебная коллегия, указа</w:t>
      </w:r>
      <w:r w:rsidRPr="003A40F7">
        <w:rPr>
          <w:rFonts w:ascii="Times New Roman" w:eastAsia="Calibri" w:hAnsi="Times New Roman"/>
          <w:sz w:val="26"/>
          <w:szCs w:val="26"/>
          <w:highlight w:val="white"/>
        </w:rPr>
        <w:t>в</w:t>
      </w:r>
      <w:r w:rsidRPr="003A40F7">
        <w:rPr>
          <w:rFonts w:ascii="Times New Roman" w:eastAsia="Calibri" w:hAnsi="Times New Roman"/>
          <w:sz w:val="26"/>
          <w:szCs w:val="26"/>
          <w:highlight w:val="white"/>
        </w:rPr>
        <w:t xml:space="preserve"> на то, что</w:t>
      </w:r>
      <w:r w:rsidRPr="003A40F7">
        <w:rPr>
          <w:rFonts w:ascii="Times New Roman" w:hAnsi="Times New Roman"/>
          <w:kern w:val="24"/>
          <w:sz w:val="26"/>
          <w:szCs w:val="26"/>
          <w:highlight w:val="white"/>
        </w:rPr>
        <w:t xml:space="preserve"> в</w:t>
      </w:r>
      <w:r w:rsidRPr="003A40F7">
        <w:rPr>
          <w:rFonts w:ascii="Times New Roman" w:hAnsi="Times New Roman"/>
          <w:kern w:val="24"/>
          <w:sz w:val="26"/>
          <w:szCs w:val="26"/>
          <w:highlight w:val="white"/>
        </w:rPr>
        <w:t xml:space="preserve">ыводы суда первой инстанции </w:t>
      </w:r>
      <w:r w:rsidRPr="003A40F7">
        <w:rPr>
          <w:rFonts w:ascii="Times New Roman" w:hAnsi="Times New Roman"/>
          <w:sz w:val="26"/>
          <w:szCs w:val="26"/>
          <w:highlight w:val="white"/>
        </w:rPr>
        <w:t>основаны на исследованных судом доказательствах, верно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установленны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х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судом юридически значимых обстоятельствах, которые подтверждены доказательствами, которым суд дал надлежа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щую оценку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.</w:t>
      </w:r>
    </w:p>
    <w:p w14:paraId="3307D7B6" w14:textId="77777777" w:rsidR="00D346F7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Выводы судебных инстанций являются правиль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ными, в судебных постановлениях мотивированы и в кассационной жалобе по существу не опровергнуты.</w:t>
      </w:r>
    </w:p>
    <w:p w14:paraId="4EEB3BEE" w14:textId="77777777" w:rsidR="00A64604" w:rsidRPr="003A40F7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Доводы кассационной жалобы были предметом рассмотрения суда апелляционной инстанции, в апелляционном определении им дана надлежащая правовая оценка.</w:t>
      </w:r>
    </w:p>
    <w:p w14:paraId="3166F8FF" w14:textId="77777777" w:rsidR="00644A69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>Кроме тог</w:t>
      </w:r>
      <w:r w:rsidRPr="003A40F7"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о,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условиями использования банковских карт ОАО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«Сбербанк России» предусмотрено, что держатель карты обязан исключить возможность использования третьими лицами мобильного телефона, номер которого используется для предоставления услуги «Мобильный банк». Держ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атель обязан информировать банк о прекращении использования номера мобильного телефона, подключенного к услуге «Мобильный банк».</w:t>
      </w:r>
    </w:p>
    <w:p w14:paraId="566B18D1" w14:textId="77777777" w:rsidR="00644A69" w:rsidRDefault="00AD361B" w:rsidP="003A40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highlight w:val="white"/>
          <w:lang w:eastAsia="ru-RU"/>
        </w:rPr>
        <w:t>Между тем, истцом не представлено доказательств того, что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она своевременно информировала банк о необходимости заблокировать про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филь, приостановить действие всех ее банковских карт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. Как усматривается из представленных документов,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в том числе стенограммы разговора с оператором ЕРКЦ, данное действие было осуществлено клиентом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***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г. в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*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минут, тогда как операции по списанию д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енежн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ы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х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средс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т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в со счетов кл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 xml:space="preserve">ента ввиду использования третьими лицами  мобильного телефона, не принадлежащего истцу, подключенного к ее карте </w:t>
      </w:r>
      <w:r>
        <w:rPr>
          <w:rFonts w:ascii="Times New Roman" w:hAnsi="Times New Roman"/>
          <w:sz w:val="26"/>
          <w:szCs w:val="26"/>
          <w:highlight w:val="white"/>
          <w:lang w:eastAsia="ru-RU"/>
        </w:rPr>
        <w:t>ввиду сообщения ею третьим лицам идентификатора и пароля для доступа в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систему Сбербанк Онл@йн</w:t>
      </w:r>
      <w:r>
        <w:rPr>
          <w:rFonts w:ascii="Times New Roman" w:hAnsi="Times New Roman"/>
          <w:sz w:val="26"/>
          <w:szCs w:val="26"/>
          <w:highlight w:val="white"/>
        </w:rPr>
        <w:t xml:space="preserve">, началось </w:t>
      </w:r>
      <w:r>
        <w:rPr>
          <w:rFonts w:ascii="Times New Roman" w:hAnsi="Times New Roman"/>
          <w:sz w:val="26"/>
          <w:szCs w:val="26"/>
          <w:highlight w:val="white"/>
        </w:rPr>
        <w:t>***</w:t>
      </w:r>
      <w:r>
        <w:rPr>
          <w:rFonts w:ascii="Times New Roman" w:hAnsi="Times New Roman"/>
          <w:sz w:val="26"/>
          <w:szCs w:val="26"/>
          <w:highlight w:val="white"/>
        </w:rPr>
        <w:t xml:space="preserve"> г. 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>
        <w:rPr>
          <w:rFonts w:ascii="Times New Roman" w:hAnsi="Times New Roman"/>
          <w:sz w:val="26"/>
          <w:szCs w:val="26"/>
          <w:highlight w:val="white"/>
        </w:rPr>
        <w:t xml:space="preserve"> часов </w:t>
      </w:r>
      <w:r>
        <w:rPr>
          <w:rFonts w:ascii="Times New Roman" w:hAnsi="Times New Roman"/>
          <w:sz w:val="26"/>
          <w:szCs w:val="26"/>
          <w:highlight w:val="white"/>
        </w:rPr>
        <w:t>*</w:t>
      </w:r>
      <w:r>
        <w:rPr>
          <w:rFonts w:ascii="Times New Roman" w:hAnsi="Times New Roman"/>
          <w:sz w:val="26"/>
          <w:szCs w:val="26"/>
          <w:highlight w:val="white"/>
        </w:rPr>
        <w:t xml:space="preserve"> минуты. Вина сотрудников ПАО «Сбербанк России» в несвоевременном блокировании профиля судом не установлена.</w:t>
      </w:r>
    </w:p>
    <w:p w14:paraId="65A3DD05" w14:textId="77777777" w:rsidR="00583E0D" w:rsidRPr="003A40F7" w:rsidRDefault="00AD361B" w:rsidP="003A40F7">
      <w:pPr>
        <w:tabs>
          <w:tab w:val="left" w:pos="0"/>
          <w:tab w:val="left" w:pos="232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Доводы кассационной жалобы в своей совокупности направлены на иную оценку собранных по делу доказательств, оспаривание обоснованности выво</w:t>
      </w:r>
      <w:r w:rsidRPr="003A40F7">
        <w:rPr>
          <w:rFonts w:ascii="Times New Roman" w:hAnsi="Times New Roman"/>
          <w:sz w:val="26"/>
          <w:szCs w:val="26"/>
          <w:highlight w:val="white"/>
        </w:rPr>
        <w:t>дов судов первой и апелляционной инстанций об установленных им обстоятельствах, были предметом подробного изучения судов обеих инстанций, они не могут служить предусмотренными ст. 387 ГПК РФ основаниями для отмены обжалуемых судебных постановлений, посколь</w:t>
      </w:r>
      <w:r w:rsidRPr="003A40F7">
        <w:rPr>
          <w:rFonts w:ascii="Times New Roman" w:hAnsi="Times New Roman"/>
          <w:sz w:val="26"/>
          <w:szCs w:val="26"/>
          <w:highlight w:val="white"/>
        </w:rPr>
        <w:t>ку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5A62F383" w14:textId="77777777" w:rsidR="004421E0" w:rsidRPr="003A40F7" w:rsidRDefault="00AD361B" w:rsidP="003A40F7">
      <w:pPr>
        <w:widowControl w:val="0"/>
        <w:tabs>
          <w:tab w:val="left" w:pos="2324"/>
          <w:tab w:val="left" w:pos="9180"/>
          <w:tab w:val="left" w:pos="9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Кроме того принцип правовой определенности предп</w:t>
      </w:r>
      <w:r w:rsidRPr="003A40F7">
        <w:rPr>
          <w:rFonts w:ascii="Times New Roman" w:hAnsi="Times New Roman"/>
          <w:sz w:val="26"/>
          <w:szCs w:val="26"/>
          <w:highlight w:val="white"/>
        </w:rPr>
        <w:t>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 разрешено дело, не может являться поводом для отмены или изменения вступившего в законную силу судебного постановления нижестоящего суда.</w:t>
      </w:r>
    </w:p>
    <w:p w14:paraId="2124DB9B" w14:textId="77777777" w:rsidR="004421E0" w:rsidRPr="003A40F7" w:rsidRDefault="00AD361B" w:rsidP="003A40F7">
      <w:pPr>
        <w:widowControl w:val="0"/>
        <w:tabs>
          <w:tab w:val="left" w:pos="2324"/>
          <w:tab w:val="left" w:pos="9180"/>
          <w:tab w:val="left" w:pos="9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Как неоднократно указывал Европейский Суд по правам человека в своих постановлениях, касающихся производства в кассац</w:t>
      </w:r>
      <w:r w:rsidRPr="003A40F7">
        <w:rPr>
          <w:rFonts w:ascii="Times New Roman" w:hAnsi="Times New Roman"/>
          <w:sz w:val="26"/>
          <w:szCs w:val="26"/>
          <w:highlight w:val="white"/>
        </w:rPr>
        <w:t>ионном порядке по гражданским делам в Российской Федерации, иной подход приводил бы к несоразмерному ограничению принципа правовой определенности.</w:t>
      </w:r>
    </w:p>
    <w:p w14:paraId="1E099C2F" w14:textId="77777777" w:rsidR="004421E0" w:rsidRPr="003A40F7" w:rsidRDefault="00AD361B" w:rsidP="003A40F7">
      <w:pPr>
        <w:tabs>
          <w:tab w:val="left" w:pos="2324"/>
          <w:tab w:val="left" w:pos="9180"/>
          <w:tab w:val="left" w:pos="9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 xml:space="preserve">Доводы кассационной  жалобы требованиям принципа правовой определенности не отвечают. </w:t>
      </w:r>
    </w:p>
    <w:p w14:paraId="71B96680" w14:textId="77777777" w:rsidR="004421E0" w:rsidRPr="003A40F7" w:rsidRDefault="00AD361B" w:rsidP="003A40F7">
      <w:pPr>
        <w:tabs>
          <w:tab w:val="left" w:pos="2324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Нарушений норм материа</w:t>
      </w:r>
      <w:r w:rsidRPr="003A40F7">
        <w:rPr>
          <w:rFonts w:ascii="Times New Roman" w:hAnsi="Times New Roman"/>
          <w:sz w:val="26"/>
          <w:szCs w:val="26"/>
          <w:highlight w:val="white"/>
        </w:rPr>
        <w:t>льного и процессуального права не установлено.</w:t>
      </w:r>
    </w:p>
    <w:p w14:paraId="709E3BE0" w14:textId="77777777" w:rsidR="004421E0" w:rsidRPr="003A40F7" w:rsidRDefault="00AD361B" w:rsidP="003A40F7">
      <w:pPr>
        <w:tabs>
          <w:tab w:val="left" w:pos="0"/>
          <w:tab w:val="left" w:pos="2324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40F7">
        <w:rPr>
          <w:rFonts w:ascii="Times New Roman" w:hAnsi="Times New Roman"/>
          <w:sz w:val="26"/>
          <w:szCs w:val="26"/>
          <w:highlight w:val="white"/>
        </w:rPr>
        <w:t>Ссылок на обстоятельства, которые не были исследованы судом либо опровергали его выводы, а также на нарушения норм материального и процессуального права, повлиявшие на исход дела, без устранения которых невозм</w:t>
      </w:r>
      <w:r w:rsidRPr="003A40F7">
        <w:rPr>
          <w:rFonts w:ascii="Times New Roman" w:hAnsi="Times New Roman"/>
          <w:sz w:val="26"/>
          <w:szCs w:val="26"/>
          <w:highlight w:val="white"/>
        </w:rPr>
        <w:t>ожны восстановление и защита нарушенных прав, свобод и законных интересов заявителя кассационная жалоба не содержит, следовательно, основания для передачи жалобы для рассмотрения по существу в суд кассационной инстанции - Президиум Московского городского с</w:t>
      </w:r>
      <w:r w:rsidRPr="003A40F7">
        <w:rPr>
          <w:rFonts w:ascii="Times New Roman" w:hAnsi="Times New Roman"/>
          <w:sz w:val="26"/>
          <w:szCs w:val="26"/>
          <w:highlight w:val="white"/>
        </w:rPr>
        <w:t xml:space="preserve">уда, отсутствуют. </w:t>
      </w:r>
    </w:p>
    <w:p w14:paraId="016BF87D" w14:textId="77777777" w:rsidR="004421E0" w:rsidRPr="003A40F7" w:rsidRDefault="00AD361B" w:rsidP="003A40F7">
      <w:pPr>
        <w:pStyle w:val="2"/>
        <w:tabs>
          <w:tab w:val="left" w:pos="2324"/>
        </w:tabs>
        <w:ind w:left="0"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 xml:space="preserve">На основании изложенного, руководствуясь п. 1 ч. 2 ст. 381, ст. 383 ГПК РФ, </w:t>
      </w:r>
    </w:p>
    <w:p w14:paraId="26288D7B" w14:textId="77777777" w:rsidR="009748B5" w:rsidRPr="003A40F7" w:rsidRDefault="00AD361B" w:rsidP="003A40F7">
      <w:pPr>
        <w:pStyle w:val="2"/>
        <w:ind w:left="0" w:firstLine="567"/>
        <w:rPr>
          <w:sz w:val="26"/>
          <w:szCs w:val="26"/>
        </w:rPr>
      </w:pPr>
    </w:p>
    <w:p w14:paraId="7CC878C1" w14:textId="77777777" w:rsidR="009748B5" w:rsidRPr="003A40F7" w:rsidRDefault="00AD361B" w:rsidP="003A40F7">
      <w:pPr>
        <w:spacing w:after="0" w:line="240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 w:rsidRPr="003A40F7">
        <w:rPr>
          <w:rFonts w:ascii="Times New Roman" w:hAnsi="Times New Roman"/>
          <w:b/>
          <w:sz w:val="26"/>
          <w:szCs w:val="26"/>
          <w:highlight w:val="white"/>
        </w:rPr>
        <w:t>о п р е д е л и л:</w:t>
      </w:r>
    </w:p>
    <w:p w14:paraId="31CD7DFC" w14:textId="77777777" w:rsidR="001616A3" w:rsidRPr="003A40F7" w:rsidRDefault="00AD361B" w:rsidP="003A40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pacing w:val="40"/>
          <w:sz w:val="26"/>
          <w:szCs w:val="26"/>
        </w:rPr>
      </w:pPr>
    </w:p>
    <w:p w14:paraId="33670424" w14:textId="77777777" w:rsidR="00B972DB" w:rsidRPr="003A40F7" w:rsidRDefault="00AD361B" w:rsidP="003A40F7">
      <w:pPr>
        <w:pStyle w:val="2"/>
        <w:ind w:left="0" w:firstLine="567"/>
        <w:rPr>
          <w:sz w:val="26"/>
          <w:szCs w:val="26"/>
        </w:rPr>
      </w:pPr>
      <w:r w:rsidRPr="003A40F7">
        <w:rPr>
          <w:bCs/>
          <w:sz w:val="26"/>
          <w:szCs w:val="26"/>
          <w:highlight w:val="white"/>
        </w:rPr>
        <w:t xml:space="preserve">в передаче </w:t>
      </w:r>
      <w:r w:rsidRPr="003A40F7">
        <w:rPr>
          <w:bCs/>
          <w:sz w:val="26"/>
          <w:szCs w:val="26"/>
          <w:highlight w:val="white"/>
        </w:rPr>
        <w:t xml:space="preserve">кассационной </w:t>
      </w:r>
      <w:r w:rsidRPr="003A40F7">
        <w:rPr>
          <w:bCs/>
          <w:sz w:val="26"/>
          <w:szCs w:val="26"/>
          <w:highlight w:val="white"/>
        </w:rPr>
        <w:t xml:space="preserve">жалобы </w:t>
      </w:r>
      <w:r>
        <w:rPr>
          <w:sz w:val="26"/>
          <w:szCs w:val="26"/>
          <w:highlight w:val="white"/>
        </w:rPr>
        <w:t>Э.</w:t>
      </w:r>
      <w:r w:rsidRPr="003A40F7">
        <w:rPr>
          <w:sz w:val="26"/>
          <w:szCs w:val="26"/>
          <w:highlight w:val="white"/>
        </w:rPr>
        <w:t xml:space="preserve"> на решение Дорогомиловского районного суда г. Москвы от </w:t>
      </w:r>
      <w:r>
        <w:rPr>
          <w:sz w:val="26"/>
          <w:szCs w:val="26"/>
          <w:highlight w:val="white"/>
        </w:rPr>
        <w:t>***</w:t>
      </w:r>
      <w:r w:rsidRPr="003A40F7">
        <w:rPr>
          <w:sz w:val="26"/>
          <w:szCs w:val="26"/>
          <w:highlight w:val="white"/>
        </w:rPr>
        <w:t xml:space="preserve"> г. и апелляционное определение судебной колле</w:t>
      </w:r>
      <w:r w:rsidRPr="003A40F7">
        <w:rPr>
          <w:sz w:val="26"/>
          <w:szCs w:val="26"/>
          <w:highlight w:val="white"/>
        </w:rPr>
        <w:t xml:space="preserve">гии по гражданским делам Московского городского суда от </w:t>
      </w:r>
      <w:r>
        <w:rPr>
          <w:sz w:val="26"/>
          <w:szCs w:val="26"/>
          <w:highlight w:val="white"/>
        </w:rPr>
        <w:t>***</w:t>
      </w:r>
      <w:r w:rsidRPr="003A40F7">
        <w:rPr>
          <w:sz w:val="26"/>
          <w:szCs w:val="26"/>
          <w:highlight w:val="white"/>
        </w:rPr>
        <w:t xml:space="preserve"> г. по гражданскому делу по иску </w:t>
      </w:r>
      <w:r>
        <w:rPr>
          <w:sz w:val="26"/>
          <w:szCs w:val="26"/>
          <w:highlight w:val="white"/>
        </w:rPr>
        <w:t>Э.</w:t>
      </w:r>
      <w:r w:rsidRPr="003A40F7">
        <w:rPr>
          <w:sz w:val="26"/>
          <w:szCs w:val="26"/>
          <w:highlight w:val="white"/>
        </w:rPr>
        <w:t xml:space="preserve"> к ПАО «Сбербанк России» о взыскании денежных средств, компенсации морального вреда</w:t>
      </w:r>
      <w:r w:rsidRPr="003A40F7">
        <w:rPr>
          <w:sz w:val="26"/>
          <w:szCs w:val="26"/>
          <w:highlight w:val="white"/>
        </w:rPr>
        <w:t xml:space="preserve"> </w:t>
      </w:r>
      <w:r w:rsidRPr="003A40F7">
        <w:rPr>
          <w:sz w:val="26"/>
          <w:szCs w:val="26"/>
          <w:highlight w:val="white"/>
        </w:rPr>
        <w:t xml:space="preserve">- </w:t>
      </w:r>
      <w:r w:rsidRPr="003A40F7">
        <w:rPr>
          <w:bCs/>
          <w:sz w:val="26"/>
          <w:szCs w:val="26"/>
          <w:highlight w:val="white"/>
        </w:rPr>
        <w:t xml:space="preserve">для рассмотрения в судебном заседании суда </w:t>
      </w:r>
      <w:r w:rsidRPr="003A40F7">
        <w:rPr>
          <w:bCs/>
          <w:sz w:val="26"/>
          <w:szCs w:val="26"/>
          <w:highlight w:val="white"/>
        </w:rPr>
        <w:t>кассационной</w:t>
      </w:r>
      <w:r w:rsidRPr="003A40F7">
        <w:rPr>
          <w:bCs/>
          <w:sz w:val="26"/>
          <w:szCs w:val="26"/>
          <w:highlight w:val="white"/>
        </w:rPr>
        <w:t xml:space="preserve"> инстанции отказать.</w:t>
      </w:r>
    </w:p>
    <w:p w14:paraId="12169985" w14:textId="77777777" w:rsidR="00B972DB" w:rsidRPr="003A40F7" w:rsidRDefault="00AD361B" w:rsidP="003A40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6"/>
          <w:szCs w:val="26"/>
        </w:rPr>
      </w:pPr>
    </w:p>
    <w:p w14:paraId="080C3EE3" w14:textId="77777777" w:rsidR="00B972DB" w:rsidRPr="003A40F7" w:rsidRDefault="00AD361B" w:rsidP="003A40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6"/>
          <w:szCs w:val="26"/>
        </w:rPr>
      </w:pPr>
    </w:p>
    <w:p w14:paraId="58D54D73" w14:textId="77777777" w:rsidR="00B972DB" w:rsidRPr="003A40F7" w:rsidRDefault="00AD361B" w:rsidP="003A40F7">
      <w:pPr>
        <w:pStyle w:val="1"/>
        <w:spacing w:before="0" w:line="240" w:lineRule="auto"/>
        <w:ind w:firstLine="567"/>
        <w:rPr>
          <w:sz w:val="26"/>
          <w:szCs w:val="26"/>
        </w:rPr>
      </w:pPr>
      <w:r w:rsidRPr="003A40F7">
        <w:rPr>
          <w:sz w:val="26"/>
          <w:szCs w:val="26"/>
          <w:highlight w:val="white"/>
        </w:rPr>
        <w:t xml:space="preserve">Судья Московского </w:t>
      </w:r>
    </w:p>
    <w:p w14:paraId="0A091D75" w14:textId="77777777" w:rsidR="00B972DB" w:rsidRPr="003A40F7" w:rsidRDefault="00AD361B" w:rsidP="003A40F7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3A40F7">
        <w:rPr>
          <w:rFonts w:ascii="Times New Roman" w:hAnsi="Times New Roman"/>
          <w:b/>
          <w:sz w:val="26"/>
          <w:szCs w:val="26"/>
          <w:highlight w:val="white"/>
        </w:rPr>
        <w:t>городск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ого суда                    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                              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     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          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Э.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А.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 xml:space="preserve"> </w:t>
      </w:r>
      <w:r w:rsidRPr="003A40F7">
        <w:rPr>
          <w:rFonts w:ascii="Times New Roman" w:hAnsi="Times New Roman"/>
          <w:b/>
          <w:sz w:val="26"/>
          <w:szCs w:val="26"/>
          <w:highlight w:val="white"/>
        </w:rPr>
        <w:t>Магжанова</w:t>
      </w:r>
    </w:p>
    <w:p w14:paraId="1ABBBB77" w14:textId="77777777" w:rsidR="006C7766" w:rsidRPr="004E1476" w:rsidRDefault="00AD361B" w:rsidP="004E1476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14:paraId="2F139348" w14:textId="77777777" w:rsidR="001A5A01" w:rsidRPr="00EA6B5B" w:rsidRDefault="00AD361B" w:rsidP="001A5A01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</w:p>
    <w:p w14:paraId="1D05FCD6" w14:textId="77777777" w:rsidR="006C7766" w:rsidRPr="00EA6B5B" w:rsidRDefault="00AD361B" w:rsidP="006C7766">
      <w:pPr>
        <w:pStyle w:val="2"/>
        <w:tabs>
          <w:tab w:val="left" w:pos="0"/>
        </w:tabs>
        <w:ind w:right="-5" w:firstLine="567"/>
        <w:rPr>
          <w:sz w:val="26"/>
          <w:szCs w:val="26"/>
        </w:rPr>
      </w:pPr>
      <w:r w:rsidRPr="00EA6B5B">
        <w:rPr>
          <w:sz w:val="26"/>
          <w:szCs w:val="26"/>
          <w:highlight w:val="white"/>
        </w:rPr>
        <w:t xml:space="preserve"> </w:t>
      </w:r>
    </w:p>
    <w:sectPr w:rsidR="006C7766" w:rsidRPr="00EA6B5B" w:rsidSect="00A10000">
      <w:footerReference w:type="default" r:id="rId13"/>
      <w:pgSz w:w="11906" w:h="16838"/>
      <w:pgMar w:top="709" w:right="680" w:bottom="567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A01C2" w14:textId="77777777" w:rsidR="0066036E" w:rsidRDefault="00AD361B" w:rsidP="00FA668A">
      <w:pPr>
        <w:spacing w:after="0" w:line="240" w:lineRule="auto"/>
      </w:pPr>
      <w:r>
        <w:separator/>
      </w:r>
    </w:p>
  </w:endnote>
  <w:endnote w:type="continuationSeparator" w:id="0">
    <w:p w14:paraId="04C11ADC" w14:textId="77777777" w:rsidR="0066036E" w:rsidRDefault="00AD361B" w:rsidP="00F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B0534" w14:textId="77777777" w:rsidR="001A75F2" w:rsidRDefault="00AD361B">
    <w:pPr>
      <w:pStyle w:val="ac"/>
      <w:jc w:val="right"/>
    </w:pPr>
  </w:p>
  <w:p w14:paraId="4E538E4E" w14:textId="77777777" w:rsidR="001A75F2" w:rsidRDefault="00AD361B" w:rsidP="00FA668A">
    <w:pPr>
      <w:pStyle w:val="ac"/>
      <w:ind w:left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162C1" w14:textId="77777777" w:rsidR="0066036E" w:rsidRDefault="00AD361B" w:rsidP="00FA668A">
      <w:pPr>
        <w:spacing w:after="0" w:line="240" w:lineRule="auto"/>
      </w:pPr>
      <w:r>
        <w:separator/>
      </w:r>
    </w:p>
  </w:footnote>
  <w:footnote w:type="continuationSeparator" w:id="0">
    <w:p w14:paraId="34B87442" w14:textId="77777777" w:rsidR="0066036E" w:rsidRDefault="00AD361B" w:rsidP="00FA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17F13"/>
    <w:multiLevelType w:val="hybridMultilevel"/>
    <w:tmpl w:val="A5CC099E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77CC"/>
    <w:multiLevelType w:val="hybridMultilevel"/>
    <w:tmpl w:val="3C3E7F7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2DB"/>
    <w:rsid w:val="00AD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1BAA57"/>
  <w15:chartTrackingRefBased/>
  <w15:docId w15:val="{38B6B08C-43B3-4536-BE88-84468A89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72DB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autoRedefine/>
    <w:qFormat/>
    <w:rsid w:val="00B972DB"/>
    <w:pPr>
      <w:keepNext/>
      <w:keepLines/>
      <w:spacing w:before="480" w:after="0"/>
      <w:outlineLvl w:val="0"/>
    </w:pPr>
    <w:rPr>
      <w:rFonts w:ascii="Times New Roman" w:hAnsi="Times New Roman"/>
      <w:b/>
      <w:bCs/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B972DB"/>
    <w:rPr>
      <w:b/>
      <w:bCs/>
      <w:sz w:val="24"/>
      <w:szCs w:val="28"/>
      <w:lang w:val="ru-RU" w:eastAsia="en-US" w:bidi="ar-SA"/>
    </w:rPr>
  </w:style>
  <w:style w:type="paragraph" w:styleId="2">
    <w:name w:val="Body Text Indent 2"/>
    <w:basedOn w:val="a"/>
    <w:link w:val="20"/>
    <w:rsid w:val="00B972DB"/>
    <w:pPr>
      <w:spacing w:after="0" w:line="240" w:lineRule="auto"/>
      <w:ind w:left="-540" w:firstLine="540"/>
      <w:jc w:val="both"/>
    </w:pPr>
    <w:rPr>
      <w:rFonts w:ascii="Times New Roman" w:hAnsi="Times New Roman"/>
      <w:sz w:val="24"/>
      <w:szCs w:val="28"/>
      <w:lang w:eastAsia="ru-RU"/>
    </w:rPr>
  </w:style>
  <w:style w:type="character" w:customStyle="1" w:styleId="20">
    <w:name w:val="Основной текст с отступом 2 Знак"/>
    <w:link w:val="2"/>
    <w:rsid w:val="00B972DB"/>
    <w:rPr>
      <w:sz w:val="24"/>
      <w:szCs w:val="28"/>
      <w:lang w:val="ru-RU" w:eastAsia="ru-RU" w:bidi="ar-SA"/>
    </w:rPr>
  </w:style>
  <w:style w:type="paragraph" w:styleId="a3">
    <w:name w:val="Body Text Indent"/>
    <w:basedOn w:val="a"/>
    <w:link w:val="a4"/>
    <w:rsid w:val="00B972DB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link w:val="a3"/>
    <w:rsid w:val="00B972DB"/>
    <w:rPr>
      <w:sz w:val="24"/>
      <w:szCs w:val="24"/>
      <w:lang w:val="ru-RU" w:eastAsia="ru-RU" w:bidi="ar-SA"/>
    </w:rPr>
  </w:style>
  <w:style w:type="character" w:customStyle="1" w:styleId="21">
    <w:name w:val="Знак Знак2"/>
    <w:locked/>
    <w:rsid w:val="00CF1F34"/>
    <w:rPr>
      <w:sz w:val="24"/>
      <w:szCs w:val="28"/>
      <w:lang w:val="ru-RU" w:eastAsia="ru-RU" w:bidi="ar-SA"/>
    </w:rPr>
  </w:style>
  <w:style w:type="character" w:customStyle="1" w:styleId="a5">
    <w:name w:val="Цветовое выделение"/>
    <w:rsid w:val="00E87187"/>
    <w:rPr>
      <w:b/>
      <w:bCs/>
      <w:color w:val="000080"/>
    </w:rPr>
  </w:style>
  <w:style w:type="character" w:customStyle="1" w:styleId="a6">
    <w:name w:val="Гипертекстовая ссылка"/>
    <w:rsid w:val="00E87187"/>
    <w:rPr>
      <w:b/>
      <w:bCs/>
      <w:color w:val="008000"/>
    </w:rPr>
  </w:style>
  <w:style w:type="paragraph" w:customStyle="1" w:styleId="a7">
    <w:name w:val="Заголовок статьи"/>
    <w:basedOn w:val="a"/>
    <w:next w:val="a"/>
    <w:rsid w:val="00E87187"/>
    <w:pPr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hAnsi="Arial"/>
      <w:sz w:val="24"/>
      <w:szCs w:val="24"/>
      <w:lang w:eastAsia="ru-RU"/>
    </w:rPr>
  </w:style>
  <w:style w:type="paragraph" w:styleId="a8">
    <w:name w:val="Balloon Text"/>
    <w:basedOn w:val="a"/>
    <w:link w:val="a9"/>
    <w:rsid w:val="00DF3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DF3134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FA668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FA668A"/>
    <w:rPr>
      <w:rFonts w:ascii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rsid w:val="00FA668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A668A"/>
    <w:rPr>
      <w:rFonts w:ascii="Calibri" w:hAnsi="Calibri"/>
      <w:sz w:val="22"/>
      <w:szCs w:val="22"/>
      <w:lang w:eastAsia="en-US"/>
    </w:rPr>
  </w:style>
  <w:style w:type="paragraph" w:customStyle="1" w:styleId="ConsPlusNormal">
    <w:name w:val="ConsPlusNormal"/>
    <w:rsid w:val="00E617A9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e">
    <w:name w:val="Normal (Web)"/>
    <w:basedOn w:val="a"/>
    <w:unhideWhenUsed/>
    <w:rsid w:val="00BA6B62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27F7AA80C1760609F7E2ED28E9AE33E960DAA00A07BF7EA2E3E6F6C154671DAB19DA4537A7F4A92wDM0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93530168AFA76318866EF62366A1131CB7CF2F0AF8B55F9873D1EA755A38189389BAF29C37DCF1A0BJ1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93530168AFA76318866EF62366A1131CB7CF2F0AF8B55F9873D1EA755A38189389BAF29C37DCC130BJ1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727F7AA80C1760609F7E2ED28E9AE33E960DAA00A07BF7EA2E3E6F6C154671DAB19DA4537A7F489EwDM4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27F7AA80C1760609F7E2ED28E9AE33E960DAA00A07BF7EA2E3E6F6C154671DAB19DA4537A7F4891wDM3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7A068-4EDA-4755-A78E-28926F4D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2695</Words>
  <Characters>15362</Characters>
  <Application>Microsoft Office Word</Application>
  <DocSecurity>0</DocSecurity>
  <Lines>128</Lines>
  <Paragraphs>36</Paragraphs>
  <ScaleCrop>false</ScaleCrop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