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CA64B" w14:textId="77777777" w:rsidR="00D20AE1" w:rsidRPr="00AF312A" w:rsidRDefault="007B5ECC" w:rsidP="00AF312A">
      <w:pPr>
        <w:tabs>
          <w:tab w:val="left" w:pos="0"/>
        </w:tabs>
        <w:autoSpaceDN w:val="0"/>
        <w:spacing w:after="0" w:line="240" w:lineRule="auto"/>
        <w:ind w:firstLine="567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AF312A">
        <w:rPr>
          <w:rFonts w:ascii="Times New Roman" w:hAnsi="Times New Roman"/>
          <w:sz w:val="24"/>
          <w:szCs w:val="24"/>
        </w:rPr>
        <w:t xml:space="preserve"> </w:t>
      </w:r>
      <w:r w:rsidRPr="00AF312A">
        <w:rPr>
          <w:rFonts w:ascii="Times New Roman" w:hAnsi="Times New Roman"/>
          <w:sz w:val="24"/>
          <w:szCs w:val="24"/>
        </w:rPr>
        <w:t>№ 4г/11-</w:t>
      </w:r>
      <w:r w:rsidRPr="00AF312A">
        <w:rPr>
          <w:rFonts w:ascii="Times New Roman" w:hAnsi="Times New Roman"/>
          <w:sz w:val="24"/>
          <w:szCs w:val="24"/>
        </w:rPr>
        <w:t>1407</w:t>
      </w:r>
      <w:r w:rsidRPr="00AF312A">
        <w:rPr>
          <w:rFonts w:ascii="Times New Roman" w:hAnsi="Times New Roman"/>
          <w:sz w:val="24"/>
          <w:szCs w:val="24"/>
        </w:rPr>
        <w:t>/1</w:t>
      </w:r>
      <w:r w:rsidRPr="00AF312A">
        <w:rPr>
          <w:rFonts w:ascii="Times New Roman" w:hAnsi="Times New Roman"/>
          <w:sz w:val="24"/>
          <w:szCs w:val="24"/>
        </w:rPr>
        <w:t>9</w:t>
      </w:r>
    </w:p>
    <w:p w14:paraId="442482FB" w14:textId="77777777" w:rsidR="00D20AE1" w:rsidRPr="00AF312A" w:rsidRDefault="007B5ECC" w:rsidP="00AF312A">
      <w:pPr>
        <w:tabs>
          <w:tab w:val="left" w:pos="0"/>
        </w:tabs>
        <w:autoSpaceDN w:val="0"/>
        <w:spacing w:after="0" w:line="240" w:lineRule="auto"/>
        <w:ind w:firstLine="567"/>
        <w:jc w:val="center"/>
        <w:rPr>
          <w:rFonts w:ascii="Times New Roman" w:hAnsi="Times New Roman"/>
          <w:spacing w:val="40"/>
          <w:sz w:val="24"/>
          <w:szCs w:val="24"/>
        </w:rPr>
      </w:pPr>
      <w:r w:rsidRPr="00AF312A">
        <w:rPr>
          <w:rFonts w:ascii="Times New Roman" w:hAnsi="Times New Roman"/>
          <w:spacing w:val="40"/>
          <w:sz w:val="24"/>
          <w:szCs w:val="24"/>
        </w:rPr>
        <w:t>ОПРЕДЕЛЕНИЕ</w:t>
      </w:r>
    </w:p>
    <w:p w14:paraId="47C1BB36" w14:textId="77777777" w:rsidR="00EC454C" w:rsidRPr="00AF312A" w:rsidRDefault="007B5ECC" w:rsidP="00AF312A">
      <w:pPr>
        <w:tabs>
          <w:tab w:val="left" w:pos="0"/>
        </w:tabs>
        <w:autoSpaceDN w:val="0"/>
        <w:spacing w:after="0" w:line="240" w:lineRule="auto"/>
        <w:ind w:firstLine="567"/>
        <w:jc w:val="center"/>
        <w:rPr>
          <w:rFonts w:ascii="Times New Roman" w:hAnsi="Times New Roman"/>
          <w:spacing w:val="40"/>
          <w:sz w:val="24"/>
          <w:szCs w:val="24"/>
        </w:rPr>
      </w:pPr>
    </w:p>
    <w:p w14:paraId="6E37F343" w14:textId="77777777" w:rsidR="00D20AE1" w:rsidRPr="00AF312A" w:rsidRDefault="007B5ECC" w:rsidP="00AF312A">
      <w:pPr>
        <w:tabs>
          <w:tab w:val="left" w:pos="0"/>
        </w:tabs>
        <w:autoSpaceDN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AF312A">
        <w:rPr>
          <w:rFonts w:ascii="Times New Roman" w:hAnsi="Times New Roman"/>
          <w:bCs/>
          <w:sz w:val="24"/>
          <w:szCs w:val="24"/>
        </w:rPr>
        <w:t>г. Москва</w:t>
      </w:r>
      <w:r w:rsidRPr="00AF312A">
        <w:rPr>
          <w:rFonts w:ascii="Times New Roman" w:hAnsi="Times New Roman"/>
          <w:bCs/>
          <w:sz w:val="24"/>
          <w:szCs w:val="24"/>
        </w:rPr>
        <w:t xml:space="preserve">                    </w:t>
      </w:r>
      <w:r w:rsidRPr="00AF312A">
        <w:rPr>
          <w:rFonts w:ascii="Times New Roman" w:hAnsi="Times New Roman"/>
          <w:bCs/>
          <w:sz w:val="24"/>
          <w:szCs w:val="24"/>
        </w:rPr>
        <w:t xml:space="preserve">                    </w:t>
      </w:r>
      <w:r w:rsidRPr="00AF312A">
        <w:rPr>
          <w:rFonts w:ascii="Times New Roman" w:hAnsi="Times New Roman"/>
          <w:bCs/>
          <w:sz w:val="24"/>
          <w:szCs w:val="24"/>
        </w:rPr>
        <w:tab/>
      </w:r>
      <w:r w:rsidRPr="00AF312A">
        <w:rPr>
          <w:rFonts w:ascii="Times New Roman" w:hAnsi="Times New Roman"/>
          <w:bCs/>
          <w:sz w:val="24"/>
          <w:szCs w:val="24"/>
        </w:rPr>
        <w:tab/>
      </w:r>
      <w:r w:rsidRPr="00AF312A">
        <w:rPr>
          <w:rFonts w:ascii="Times New Roman" w:hAnsi="Times New Roman"/>
          <w:bCs/>
          <w:sz w:val="24"/>
          <w:szCs w:val="24"/>
        </w:rPr>
        <w:tab/>
      </w:r>
      <w:r w:rsidRPr="00AF312A">
        <w:rPr>
          <w:rFonts w:ascii="Times New Roman" w:hAnsi="Times New Roman"/>
          <w:bCs/>
          <w:sz w:val="24"/>
          <w:szCs w:val="24"/>
        </w:rPr>
        <w:tab/>
      </w:r>
      <w:r w:rsidRPr="00AF312A">
        <w:rPr>
          <w:rFonts w:ascii="Times New Roman" w:hAnsi="Times New Roman"/>
          <w:bCs/>
          <w:sz w:val="24"/>
          <w:szCs w:val="24"/>
        </w:rPr>
        <w:tab/>
        <w:t xml:space="preserve"> </w:t>
      </w:r>
      <w:r w:rsidRPr="00AF312A">
        <w:rPr>
          <w:rFonts w:ascii="Times New Roman" w:hAnsi="Times New Roman"/>
          <w:bCs/>
          <w:sz w:val="24"/>
          <w:szCs w:val="24"/>
        </w:rPr>
        <w:t xml:space="preserve"> </w:t>
      </w:r>
      <w:r w:rsidRPr="00AF312A">
        <w:rPr>
          <w:rFonts w:ascii="Times New Roman" w:hAnsi="Times New Roman"/>
          <w:bCs/>
          <w:sz w:val="24"/>
          <w:szCs w:val="24"/>
        </w:rPr>
        <w:t>15 апреля</w:t>
      </w:r>
      <w:r w:rsidRPr="00AF312A">
        <w:rPr>
          <w:rFonts w:ascii="Times New Roman" w:hAnsi="Times New Roman"/>
          <w:bCs/>
          <w:sz w:val="24"/>
          <w:szCs w:val="24"/>
        </w:rPr>
        <w:t xml:space="preserve"> </w:t>
      </w:r>
      <w:r w:rsidRPr="00AF312A">
        <w:rPr>
          <w:rFonts w:ascii="Times New Roman" w:hAnsi="Times New Roman"/>
          <w:bCs/>
          <w:sz w:val="24"/>
          <w:szCs w:val="24"/>
        </w:rPr>
        <w:t>201</w:t>
      </w:r>
      <w:r w:rsidRPr="00AF312A">
        <w:rPr>
          <w:rFonts w:ascii="Times New Roman" w:hAnsi="Times New Roman"/>
          <w:bCs/>
          <w:sz w:val="24"/>
          <w:szCs w:val="24"/>
        </w:rPr>
        <w:t>9</w:t>
      </w:r>
      <w:r w:rsidRPr="00AF312A">
        <w:rPr>
          <w:rFonts w:ascii="Times New Roman" w:hAnsi="Times New Roman"/>
          <w:bCs/>
          <w:sz w:val="24"/>
          <w:szCs w:val="24"/>
        </w:rPr>
        <w:t xml:space="preserve"> г</w:t>
      </w:r>
      <w:r w:rsidRPr="00AF312A">
        <w:rPr>
          <w:rFonts w:ascii="Times New Roman" w:hAnsi="Times New Roman"/>
          <w:bCs/>
          <w:sz w:val="24"/>
          <w:szCs w:val="24"/>
        </w:rPr>
        <w:t>ода</w:t>
      </w:r>
    </w:p>
    <w:p w14:paraId="737C39B6" w14:textId="77777777" w:rsidR="00D20AE1" w:rsidRPr="00AF312A" w:rsidRDefault="007B5ECC" w:rsidP="00AF312A">
      <w:pPr>
        <w:tabs>
          <w:tab w:val="left" w:pos="0"/>
        </w:tabs>
        <w:autoSpaceDN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</w:p>
    <w:p w14:paraId="7FBEFC5D" w14:textId="77777777" w:rsidR="00BE1501" w:rsidRPr="00AF312A" w:rsidRDefault="007B5ECC" w:rsidP="00AF312A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F312A">
        <w:rPr>
          <w:rFonts w:ascii="Times New Roman" w:hAnsi="Times New Roman"/>
          <w:kern w:val="24"/>
          <w:sz w:val="24"/>
          <w:szCs w:val="24"/>
        </w:rPr>
        <w:t xml:space="preserve">Судья Московского городского суда Колосова С.И., изучив кассационную жалобу </w:t>
      </w:r>
      <w:r w:rsidRPr="00AF312A">
        <w:rPr>
          <w:rFonts w:ascii="Times New Roman" w:hAnsi="Times New Roman"/>
          <w:kern w:val="24"/>
          <w:sz w:val="24"/>
          <w:szCs w:val="24"/>
        </w:rPr>
        <w:t>Ларицкого А.Э., поданную через отделение почтовой связи согласно штампу н</w:t>
      </w:r>
      <w:r w:rsidRPr="00AF312A">
        <w:rPr>
          <w:rFonts w:ascii="Times New Roman" w:hAnsi="Times New Roman"/>
          <w:kern w:val="24"/>
          <w:sz w:val="24"/>
          <w:szCs w:val="24"/>
        </w:rPr>
        <w:t xml:space="preserve">а конверте </w:t>
      </w:r>
      <w:r w:rsidRPr="00AF312A">
        <w:rPr>
          <w:rFonts w:ascii="Times New Roman" w:hAnsi="Times New Roman"/>
          <w:kern w:val="24"/>
          <w:sz w:val="24"/>
          <w:szCs w:val="24"/>
        </w:rPr>
        <w:t xml:space="preserve">          </w:t>
      </w:r>
      <w:r w:rsidRPr="00AF312A">
        <w:rPr>
          <w:rFonts w:ascii="Times New Roman" w:hAnsi="Times New Roman"/>
          <w:kern w:val="24"/>
          <w:sz w:val="24"/>
          <w:szCs w:val="24"/>
        </w:rPr>
        <w:t>20 декабря 2018</w:t>
      </w:r>
      <w:r w:rsidRPr="00AF312A">
        <w:rPr>
          <w:rFonts w:ascii="Times New Roman" w:hAnsi="Times New Roman"/>
          <w:kern w:val="24"/>
          <w:sz w:val="24"/>
          <w:szCs w:val="24"/>
        </w:rPr>
        <w:t xml:space="preserve"> года и поступившую в Московский городской суд 24 января 2019 года, на решение Пресненского районного суда г. Москвы от 8 февраля 2018 года и апелляционное определение судебной коллегии по гражданским делам Московского г</w:t>
      </w:r>
      <w:r w:rsidRPr="00AF312A">
        <w:rPr>
          <w:rFonts w:ascii="Times New Roman" w:hAnsi="Times New Roman"/>
          <w:kern w:val="24"/>
          <w:sz w:val="24"/>
          <w:szCs w:val="24"/>
        </w:rPr>
        <w:t xml:space="preserve">ородского суда от </w:t>
      </w:r>
      <w:r w:rsidRPr="00AF312A">
        <w:rPr>
          <w:rFonts w:ascii="Times New Roman" w:hAnsi="Times New Roman"/>
          <w:kern w:val="24"/>
          <w:sz w:val="24"/>
          <w:szCs w:val="24"/>
        </w:rPr>
        <w:t xml:space="preserve">          </w:t>
      </w:r>
      <w:r w:rsidRPr="00AF312A">
        <w:rPr>
          <w:rFonts w:ascii="Times New Roman" w:hAnsi="Times New Roman"/>
          <w:kern w:val="24"/>
          <w:sz w:val="24"/>
          <w:szCs w:val="24"/>
        </w:rPr>
        <w:t>22 июня 2018 года по гражданскому делу по иску ПАО «Сбербанк России» к Ларицкому А.Э. о возмещении материального ущерба, причиненного преступлением, по иску Компании «Ремигал Консалтантс Лимитед» к Ларицкому А.Э. о взыскании мат</w:t>
      </w:r>
      <w:r w:rsidRPr="00AF312A">
        <w:rPr>
          <w:rFonts w:ascii="Times New Roman" w:hAnsi="Times New Roman"/>
          <w:kern w:val="24"/>
          <w:sz w:val="24"/>
          <w:szCs w:val="24"/>
        </w:rPr>
        <w:t>ериального ущерба</w:t>
      </w:r>
      <w:r w:rsidRPr="00AF312A">
        <w:rPr>
          <w:rFonts w:ascii="Times New Roman" w:hAnsi="Times New Roman"/>
          <w:sz w:val="24"/>
          <w:szCs w:val="24"/>
          <w:lang w:eastAsia="ru-RU"/>
        </w:rPr>
        <w:t>,</w:t>
      </w:r>
      <w:r w:rsidRPr="00AF312A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5CE488B9" w14:textId="77777777" w:rsidR="00D20AE1" w:rsidRPr="00AF312A" w:rsidRDefault="007B5ECC" w:rsidP="00AF312A">
      <w:pPr>
        <w:tabs>
          <w:tab w:val="left" w:pos="0"/>
        </w:tabs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465E14AC" w14:textId="77777777" w:rsidR="00D20AE1" w:rsidRPr="00AF312A" w:rsidRDefault="007B5ECC" w:rsidP="00AF312A">
      <w:pPr>
        <w:tabs>
          <w:tab w:val="left" w:pos="0"/>
        </w:tabs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>у с т а н о в и л:</w:t>
      </w:r>
    </w:p>
    <w:p w14:paraId="224BE0CE" w14:textId="77777777" w:rsidR="00D20AE1" w:rsidRPr="00AF312A" w:rsidRDefault="007B5ECC" w:rsidP="00AF312A">
      <w:pPr>
        <w:tabs>
          <w:tab w:val="left" w:pos="0"/>
        </w:tabs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53FBFBE7" w14:textId="77777777" w:rsidR="0038280B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ПАО «Сбербанк России» обратилось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в суд с уточненным иском в порядке ст. 39 ГПК РФ к Ларицкому А.Э. о взыскании материального ущерба, причиненного преступлением в сумме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ссылаясь на то, что  20 октября 2010 года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между ОАО «Сбербанк России» и ОАО «Нововятский лыжный комбинат» был заключен Договор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об открытии невозобновляемой кредитной линии с учетом  дополнительных соглашений, в соответствии с которым кредитор обязуется открыть заемщику невозобновляемую кредит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ную линию с лимитом в сумме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для финансирования затрат в рамках реализации инвестиционного проекта «Организация производства ОСП/ОПБ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Обязательства по предоставлению кредита были исполнены банком полностью на сумму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обеспечение исполнения обязатель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ств по своевременному возврату кредита был заключен договор поручительства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 24 ноября 2010 года с Ларицким А.Э. 02 сентября 2011 года между ОАО «Сбербанк России» в лице Кировского отделения №8612 и ОАО «Нововятский лыжный комбинат» был заключен дого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вор об открытии  невозобновляемой  кредитной линии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 лимитом ответственности в сумме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поручителем по указанному дог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овору также являлся Ларицкий А.Э. на основании договора поручительства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 02.09.2011г. В рамках уголовного дела  банку стало из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вестно, что денежные средства, предоставленные  банком заемщику при кредитовании, были похищены Ларицким А.Э. Приговором Лефортовского районного суда г. Москвы от 10 октября 2016 года Ларицкий А.Э. признан виновным в совершении преступления, предусмотренно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го ч.4 ст.159 УК РФ. </w:t>
      </w:r>
    </w:p>
    <w:p w14:paraId="04FBA82F" w14:textId="77777777" w:rsidR="0038280B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Определением суда от 22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августа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2017 г. удовлетв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орено ходатайство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третьего лица Компании «Ремиг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ал Консалтантс</w:t>
      </w:r>
      <w:r w:rsidRPr="00694F2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Лимитед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о вступлении в дело в качестве третьего лица, заявляющего самостоятельные исковые требования относительно предмета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спора по иску ПАО «Сбербанк России» к Ларицкому А.Э. о возмещении материального ущерба, причинённого преступлением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 в размере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обоснование своих требований Компания «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Ремигал Консалтантс</w:t>
      </w:r>
      <w:r w:rsidRPr="00694F2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Лимитед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указала, что 28 января 2014 года  между ОАО «Сбербанк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России»  и Компанией был заключен договор уступки прав (требований) №1/2014, в соответствии с которым Компании «Ремигал Консалтс Лимитед»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переходят права требования к ОАО «Нововятский лыжный комбинат» на сумму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включая право требования по договорам пор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учительства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 24 ноября 2010года и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 05 октября 2012 года, заключенным с Ларицким А.Э. Вступившим в законную силу приговором Лефортовского районного суда г. Москвы от 16 октября 2016 года установлено, что денежные средства, полученные по догово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рам об открытии кредитной линии, право требования по которым передано Компании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похищены Ларицким А.Э. Однако по условиям договора цессии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Компания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Ремигал Консалтантс</w:t>
      </w:r>
      <w:r w:rsidRPr="00694F2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Лимитед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произвела оплату за уступаемые права  ОАО «Сбербанк России» в размере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56FCFB1" w14:textId="77777777" w:rsidR="0038280B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lastRenderedPageBreak/>
        <w:t>Реше</w:t>
      </w:r>
      <w:r w:rsidRPr="00AF312A">
        <w:rPr>
          <w:rFonts w:ascii="Times New Roman" w:hAnsi="Times New Roman"/>
          <w:sz w:val="24"/>
          <w:szCs w:val="24"/>
        </w:rPr>
        <w:t xml:space="preserve">нием </w:t>
      </w:r>
      <w:r w:rsidRPr="00AF312A">
        <w:rPr>
          <w:rFonts w:ascii="Times New Roman" w:hAnsi="Times New Roman"/>
          <w:sz w:val="24"/>
          <w:szCs w:val="24"/>
        </w:rPr>
        <w:t xml:space="preserve">Пресненского районного суда г. Москвы от 08 февраля 2018 года, оставленным без изменения  апелляционным определением судебной коллегии по гражданским делам Московского городского суда от 22 июня 2018 года, </w:t>
      </w:r>
      <w:r w:rsidRPr="00AF312A">
        <w:rPr>
          <w:rFonts w:ascii="Times New Roman" w:hAnsi="Times New Roman"/>
          <w:sz w:val="24"/>
          <w:szCs w:val="24"/>
        </w:rPr>
        <w:t>постановлено:</w:t>
      </w:r>
    </w:p>
    <w:p w14:paraId="6D7F911D" w14:textId="77777777" w:rsidR="00463F3A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>«Иск ПАО «Сбербанк России» удов</w:t>
      </w:r>
      <w:r w:rsidRPr="00AF312A">
        <w:rPr>
          <w:rFonts w:ascii="Times New Roman" w:hAnsi="Times New Roman"/>
          <w:sz w:val="24"/>
          <w:szCs w:val="24"/>
        </w:rPr>
        <w:t>летворить частично.</w:t>
      </w:r>
    </w:p>
    <w:p w14:paraId="51EF013E" w14:textId="77777777" w:rsidR="00463F3A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 xml:space="preserve">Взыскать с Ларицкого А.Э. в пользу ПАО «Сбербанк России» в счет материального ущерба, причиненного преступлением, </w:t>
      </w:r>
      <w:r>
        <w:rPr>
          <w:rFonts w:ascii="Times New Roman" w:hAnsi="Times New Roman"/>
          <w:sz w:val="24"/>
          <w:szCs w:val="24"/>
        </w:rPr>
        <w:t>***</w:t>
      </w:r>
      <w:r w:rsidRPr="00AF312A">
        <w:rPr>
          <w:rFonts w:ascii="Times New Roman" w:hAnsi="Times New Roman"/>
          <w:sz w:val="24"/>
          <w:szCs w:val="24"/>
        </w:rPr>
        <w:t xml:space="preserve">, а также расходы по уплате госпошлины в размере </w:t>
      </w:r>
      <w:r>
        <w:rPr>
          <w:rFonts w:ascii="Times New Roman" w:hAnsi="Times New Roman"/>
          <w:sz w:val="24"/>
          <w:szCs w:val="24"/>
        </w:rPr>
        <w:t>***</w:t>
      </w:r>
    </w:p>
    <w:p w14:paraId="590F7D2A" w14:textId="77777777" w:rsidR="00463F3A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>В остальной части иска отказать.</w:t>
      </w:r>
    </w:p>
    <w:p w14:paraId="4241A5B3" w14:textId="77777777" w:rsidR="00ED62BA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>Иск Компании «Ремигал Консалт</w:t>
      </w:r>
      <w:r w:rsidRPr="00AF312A">
        <w:rPr>
          <w:rFonts w:ascii="Times New Roman" w:hAnsi="Times New Roman"/>
          <w:sz w:val="24"/>
          <w:szCs w:val="24"/>
        </w:rPr>
        <w:t>антс</w:t>
      </w:r>
      <w:r w:rsidRPr="00AF312A">
        <w:rPr>
          <w:rFonts w:ascii="Times New Roman" w:hAnsi="Times New Roman"/>
          <w:sz w:val="24"/>
          <w:szCs w:val="24"/>
        </w:rPr>
        <w:t xml:space="preserve"> Лимитед» удовлетворить частично.</w:t>
      </w:r>
    </w:p>
    <w:p w14:paraId="6B7E9E04" w14:textId="77777777" w:rsidR="00ED62BA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 xml:space="preserve">Взыскать с Ларицкого А.Э. в пользу Компании «Ремигал Консалтантс Лимитед» убытки в размере </w:t>
      </w:r>
      <w:r>
        <w:rPr>
          <w:rFonts w:ascii="Times New Roman" w:hAnsi="Times New Roman"/>
          <w:sz w:val="24"/>
          <w:szCs w:val="24"/>
        </w:rPr>
        <w:t>***</w:t>
      </w:r>
      <w:r w:rsidRPr="00AF312A">
        <w:rPr>
          <w:rFonts w:ascii="Times New Roman" w:hAnsi="Times New Roman"/>
          <w:sz w:val="24"/>
          <w:szCs w:val="24"/>
        </w:rPr>
        <w:t xml:space="preserve">, а также расходы по уплате госпошлины в размере </w:t>
      </w:r>
      <w:r>
        <w:rPr>
          <w:rFonts w:ascii="Times New Roman" w:hAnsi="Times New Roman"/>
          <w:sz w:val="24"/>
          <w:szCs w:val="24"/>
        </w:rPr>
        <w:t>****</w:t>
      </w:r>
    </w:p>
    <w:p w14:paraId="7380DF0F" w14:textId="77777777" w:rsidR="00463F3A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 xml:space="preserve">В остальной части иска отказать». </w:t>
      </w:r>
    </w:p>
    <w:p w14:paraId="31FA39F6" w14:textId="77777777" w:rsidR="00AF312A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F312A">
        <w:rPr>
          <w:rFonts w:ascii="Times New Roman" w:hAnsi="Times New Roman"/>
          <w:sz w:val="24"/>
          <w:szCs w:val="24"/>
          <w:lang w:eastAsia="ru-RU"/>
        </w:rPr>
        <w:t>В</w:t>
      </w:r>
      <w:r w:rsidRPr="00AF312A">
        <w:rPr>
          <w:rFonts w:ascii="Times New Roman" w:hAnsi="Times New Roman"/>
          <w:sz w:val="24"/>
          <w:szCs w:val="24"/>
          <w:lang w:eastAsia="ru-RU"/>
        </w:rPr>
        <w:t xml:space="preserve"> кассационной жалобе заявителем ставит</w:t>
      </w:r>
      <w:r w:rsidRPr="00AF312A">
        <w:rPr>
          <w:rFonts w:ascii="Times New Roman" w:hAnsi="Times New Roman"/>
          <w:sz w:val="24"/>
          <w:szCs w:val="24"/>
          <w:lang w:eastAsia="ru-RU"/>
        </w:rPr>
        <w:t>ся вопрос об отмене перечисленны</w:t>
      </w:r>
      <w:r w:rsidRPr="00AF312A">
        <w:rPr>
          <w:rFonts w:ascii="Times New Roman" w:hAnsi="Times New Roman"/>
          <w:sz w:val="24"/>
          <w:szCs w:val="24"/>
          <w:lang w:eastAsia="ru-RU"/>
        </w:rPr>
        <w:t xml:space="preserve">х выше судебных постановлений и </w:t>
      </w:r>
      <w:r w:rsidRPr="00AF312A">
        <w:rPr>
          <w:rFonts w:ascii="Times New Roman" w:hAnsi="Times New Roman"/>
          <w:sz w:val="24"/>
          <w:szCs w:val="24"/>
          <w:lang w:eastAsia="ru-RU"/>
        </w:rPr>
        <w:t>принятии по де</w:t>
      </w:r>
      <w:r w:rsidRPr="00AF312A">
        <w:rPr>
          <w:rFonts w:ascii="Times New Roman" w:hAnsi="Times New Roman"/>
          <w:sz w:val="24"/>
          <w:szCs w:val="24"/>
          <w:lang w:eastAsia="ru-RU"/>
        </w:rPr>
        <w:t>лу нового решения об отказе в удовлетворении исковых требований в полном объеме.</w:t>
      </w:r>
    </w:p>
    <w:p w14:paraId="678E616A" w14:textId="77777777" w:rsidR="00AF312A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>В силу ч.1 ст.381 ГПК РФ судьи изучают кассационные жалобы, представления по материалам, приложен</w:t>
      </w:r>
      <w:r w:rsidRPr="00AF312A">
        <w:rPr>
          <w:rFonts w:ascii="Times New Roman" w:hAnsi="Times New Roman"/>
          <w:sz w:val="24"/>
          <w:szCs w:val="24"/>
        </w:rPr>
        <w:t>ным к ним, либо по материалам истребованного дела.</w:t>
      </w:r>
    </w:p>
    <w:p w14:paraId="5C3C118C" w14:textId="77777777" w:rsidR="00AF312A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F312A">
        <w:rPr>
          <w:rFonts w:ascii="Times New Roman" w:hAnsi="Times New Roman"/>
          <w:sz w:val="24"/>
          <w:szCs w:val="24"/>
        </w:rPr>
        <w:t>Письмом судьи Московского городского суда от 25 февраля 2019 г. дело истребовано из Пресненского районного суда г. Москвы. 15 марта 2019 г., согласно штампу экспедиции Московского городского суда, истребов</w:t>
      </w:r>
      <w:r w:rsidRPr="00AF312A">
        <w:rPr>
          <w:rFonts w:ascii="Times New Roman" w:hAnsi="Times New Roman"/>
          <w:sz w:val="24"/>
          <w:szCs w:val="24"/>
        </w:rPr>
        <w:t xml:space="preserve">анное гражданское дело поступило на рассмотрение в суд кассационной инстанции. </w:t>
      </w:r>
    </w:p>
    <w:p w14:paraId="077A133C" w14:textId="77777777" w:rsidR="00D20AE1" w:rsidRPr="00AF312A" w:rsidRDefault="007B5ECC" w:rsidP="00AF312A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F312A">
        <w:rPr>
          <w:rFonts w:ascii="Times New Roman" w:hAnsi="Times New Roman"/>
          <w:sz w:val="24"/>
          <w:szCs w:val="24"/>
          <w:lang w:eastAsia="ru-RU"/>
        </w:rPr>
        <w:t xml:space="preserve">В соответствии с ч. 2 ст. 381 ГПК РФ по результатам изучения кассационной жалобы или представления прокурора судья выносит определение: </w:t>
      </w:r>
      <w:r w:rsidRPr="00AF312A">
        <w:rPr>
          <w:rFonts w:ascii="Times New Roman" w:hAnsi="Times New Roman"/>
          <w:sz w:val="24"/>
          <w:szCs w:val="24"/>
        </w:rPr>
        <w:t xml:space="preserve">1) </w:t>
      </w:r>
      <w:r w:rsidRPr="00AF312A">
        <w:rPr>
          <w:rFonts w:ascii="Times New Roman" w:hAnsi="Times New Roman"/>
          <w:sz w:val="24"/>
          <w:szCs w:val="24"/>
          <w:lang w:eastAsia="ru-RU"/>
        </w:rPr>
        <w:t>об отказе в передаче кассационных жал</w:t>
      </w:r>
      <w:r w:rsidRPr="00AF312A">
        <w:rPr>
          <w:rFonts w:ascii="Times New Roman" w:hAnsi="Times New Roman"/>
          <w:sz w:val="24"/>
          <w:szCs w:val="24"/>
          <w:lang w:eastAsia="ru-RU"/>
        </w:rPr>
        <w:t>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представление, а также копии обжалуемых судебных по</w:t>
      </w:r>
      <w:r w:rsidRPr="00AF312A">
        <w:rPr>
          <w:rFonts w:ascii="Times New Roman" w:hAnsi="Times New Roman"/>
          <w:sz w:val="24"/>
          <w:szCs w:val="24"/>
          <w:lang w:eastAsia="ru-RU"/>
        </w:rPr>
        <w:t xml:space="preserve">становлений остаются в суде кассационной инстанции; </w:t>
      </w:r>
      <w:r w:rsidRPr="00AF312A">
        <w:rPr>
          <w:rFonts w:ascii="Times New Roman" w:hAnsi="Times New Roman"/>
          <w:sz w:val="24"/>
          <w:szCs w:val="24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7140A36F" w14:textId="77777777" w:rsidR="00D20AE1" w:rsidRPr="00AF312A" w:rsidRDefault="007B5ECC" w:rsidP="00AF312A">
      <w:pPr>
        <w:tabs>
          <w:tab w:val="left" w:pos="0"/>
          <w:tab w:val="left" w:pos="54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>Основаниями для отмены или изменения судебных постановлений в кассационном поряд</w:t>
      </w:r>
      <w:r w:rsidRPr="00AF312A">
        <w:rPr>
          <w:rFonts w:ascii="Times New Roman" w:hAnsi="Times New Roman"/>
          <w:sz w:val="24"/>
          <w:szCs w:val="24"/>
        </w:rPr>
        <w:t>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</w:t>
      </w:r>
      <w:r w:rsidRPr="00AF312A">
        <w:rPr>
          <w:rFonts w:ascii="Times New Roman" w:hAnsi="Times New Roman"/>
          <w:sz w:val="24"/>
          <w:szCs w:val="24"/>
        </w:rPr>
        <w:t xml:space="preserve">              </w:t>
      </w:r>
      <w:r w:rsidRPr="00AF312A">
        <w:rPr>
          <w:rFonts w:ascii="Times New Roman" w:hAnsi="Times New Roman"/>
          <w:sz w:val="24"/>
          <w:szCs w:val="24"/>
        </w:rPr>
        <w:t>а также защита</w:t>
      </w:r>
      <w:r w:rsidRPr="00AF312A">
        <w:rPr>
          <w:rFonts w:ascii="Times New Roman" w:hAnsi="Times New Roman"/>
          <w:sz w:val="24"/>
          <w:szCs w:val="24"/>
        </w:rPr>
        <w:t xml:space="preserve"> охраняемых законом публичных интересов (ст. 387 ГПК РФ). </w:t>
      </w:r>
    </w:p>
    <w:p w14:paraId="57CAD3D5" w14:textId="77777777" w:rsidR="00D20AE1" w:rsidRPr="00AF312A" w:rsidRDefault="007B5ECC" w:rsidP="00AF312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 w:rsidRPr="00AF312A">
        <w:rPr>
          <w:rFonts w:ascii="Times New Roman" w:hAnsi="Times New Roman"/>
          <w:kern w:val="24"/>
          <w:sz w:val="24"/>
          <w:szCs w:val="24"/>
        </w:rPr>
        <w:t>Таких нарушений районным судом и судебной коллегией при рассмотрении дела допущено не было.</w:t>
      </w:r>
    </w:p>
    <w:p w14:paraId="1B2D6B9F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Судом установлено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20 октября 2010 года между ОАО «Сбербанк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России»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и ОАО «Нововятский лыжный комбин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ат» был заключён Договор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об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открытии не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возобновляемой кредитной линии с учётом дополнительных соглашений, в соответствии с которым Кредитор обязуется открыть Заёмщику невозобновляемую кредитную линию с лимитом в сумме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финансирования затрат в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рамках реализации инвестиционного проекта «Организация производства ОСП/ОПБ (ориентированно-стружечной плиты), по переменной процентной ставке в зависимости от доли кредитовых оборотов по счетам, указанным в Приложении № 1, открытым Заемщиком у Кредитора,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в общем объеме кредитовых оборотов по всем расчетным счетам Заемщика в банках за истекший Расчетный период: до 80 % (включительно) 13,5 % годовых, свыше 80 % (включительно) 12,0 % годовых, на срок по 18.10.2015 г. в соответствии с установленным кредитным 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оговором графиком. Обязательства по предоставлению кредита были исполнены Банком полностью, что подтвер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ждается платёжным поручением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от 20.10.2010 г. на сумму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</w:p>
    <w:p w14:paraId="3886730D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В обеспечение исполнения обязательств по своевременному возврату кредита был заключен до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говор поручительства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от 24.11.2010 г. с Ларицким А.Э. </w:t>
      </w:r>
    </w:p>
    <w:p w14:paraId="18F88DB8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п. 1.2 договора поручительства поручитель обязался отвечать перед банком за исполнение заёмщиком его обязательств по кредитному договору полностью. В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соответствии с п. 2.1 договора поруч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ительства поручитель обязался отвечать перед банком солидарно с заемщиком. В соответствии с п.1.1 Кредитного договора выдача кредита производилась по 18.10.2015 г.</w:t>
      </w:r>
    </w:p>
    <w:p w14:paraId="12619713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02.09.2011 года между ОАО «Сбербанк России» в лице Кировского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отделения № 86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и ОАО «Нововятс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кий лыжный комбинат» был заключен договор об открытии невозобновляемой кредитной линии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финансирования инвестиционного проекта «Организация производства ОСП/ОПБ (ориентированно-стружечной плиты), в том числе для финансирования монтажных и пусконал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адочных работ по установке оборудования, а также приобретению сырья для запуска производства с лимитом в сумме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сроком по 27.06.2018 года по переменной процентной ставке, в зависимости от кредитовых оборотов: при  доле кредитовых оборотов до 80 % (включ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ительно) - 15,4 % годовых, при доле кредитовых оборотов свыше 80 % (включительно) - 14,4 % годовых.</w:t>
      </w:r>
    </w:p>
    <w:p w14:paraId="44ED7577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В обеспечение исполнения обязательств по своевременному возврату кредита был заключен договор поручительства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от 02.09.2011 г. с Ларицким А.Э. Поручите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ль, согласно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указанному договору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поручительства, обязался солидарно отвечать перед кредитором за исполнение заемщиком всех обязательств по Кредитному договору (п. 1.2 Договора поручительства). </w:t>
      </w:r>
    </w:p>
    <w:p w14:paraId="64C02D98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28.01.2014г. между ОАО «Сбербанк России» и Компанией «Ремигал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Консалтантс Лимитед» был заключен договор уступки прав (требований)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с которым Компании «Ремигал Консалтантс Лимитед» пере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ходят права требования к АО «Нововятский лыжный комбинат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» на сумму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, включая право требования по договору пору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чительства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от 24.11.2010г.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, заключенному с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Ларицким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А.Э.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; по договору поручительства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от 05.10.2012г., заключенному с Ларицким А.Э.</w:t>
      </w:r>
    </w:p>
    <w:p w14:paraId="3BA2187B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Вступившим в законную силу приговором Лефортовского районного суда г. Москвы от 16.10.2016г. установлено, что ден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ежные средства, полученные по договору об открытии кредитной линии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от 20.10.2010г.,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по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 об открытии кредитной линии № 217/1 от 02.09.2011г.,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по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договору об открытии кредитной линии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от 27.09.201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2г., право требования по которым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переданы К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омпании «Ремигал Консалтантс Лимитед»,  были похищены Ларицким А.Э. </w:t>
      </w:r>
    </w:p>
    <w:p w14:paraId="5491EE9D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19.11.2015 г. платежным поручением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в счет возмещение ущерба по уголовному делу, возбужденному в отношении Ларицкого А.Э.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в ПАО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Сбербанк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России»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поступила оплата в размере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7D7BE542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тавшаяся часть материального ущерба, причиненного ПАО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Сбербанк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России»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в результате преступления, совершенного Ларицким А.Э., в добровольном порядке ответчиком не возмещена. </w:t>
      </w:r>
    </w:p>
    <w:p w14:paraId="15170838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Согласно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условиям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договора цессии от 28.01.2014г.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ПАО «Сбербанк России» переда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ло все права и обязанности по договору Компании «Ремигал Консалтантс Лимитед», которая в свою очередь произвела оплату за уступаемые права (требования) в размере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(Раздел 3 Договора).</w:t>
      </w:r>
    </w:p>
    <w:p w14:paraId="2FA30DE8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Вышеуказанным приговором суда в соответствии с ч.2 ст. 309 УПК РФ за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гражданским истцом ПАО «Сбербанк России» признано право на удовлетворение иска.</w:t>
      </w:r>
    </w:p>
    <w:p w14:paraId="1D5954A6" w14:textId="77777777" w:rsidR="007833D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Оценив собранные по делу доказательства,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руководствуясь ст.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ст. 15, 1064 ГК РФ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ч.4 ст.61 ГПК РФ,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суд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пришел к выводу о частичном удовлетворении исковых требований ПАО «Сбербан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к России»  и Компании «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Ремигал Консалтантс Лимитед».  </w:t>
      </w:r>
    </w:p>
    <w:p w14:paraId="07113635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При этом суд исходил из того, что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ПАО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Сбербанк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России»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указанным преступлением причинен имущественный вред, выразившийся в хищении денежных средств, пред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ставленных в рамках кредитования. По 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оговору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об открытии не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возобновляемой кредитной линии от 20.10.2010г., заключенному с ОАО «Нововятский лыжный комбинат»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остаток задолженности по состоянию на 28.01.2014 года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(на дату заключения договора цессии)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составлял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***. из них - основной долг 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- про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центы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- неустойка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A5930D3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По договору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об открытии невозобновляемой кредитной линии от 02.09.2011г.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, заключенному с ОАО «Нововятский лыжный комбинат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» остаток задолженности по состоянию на 28.01.2014 года составляет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из них: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основной долг в разме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ре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роценты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плата за обслуживание кредита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-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неустойка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</w:p>
    <w:p w14:paraId="0AB2D085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В процентном соотношении сумма задолженности по 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оговору № 170/10 об открытии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невозобновляемой кредитной линии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от 20.10.2010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г.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и по договору № 127/11 об открытии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невозобновляемой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кредитной линии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от 02.09.2011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г.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к общей сумме задолженности составляет 23,81% и 54,89 %, а именно: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</w:p>
    <w:p w14:paraId="08F624D5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Цена договора уступки прав (требований) (п. 3.1 договора уступки прав (требований)) составил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из них: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по договору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об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открытии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невозобновляемой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кредитной линии от 20.10.2010г. -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5EFC0CA" w14:textId="77777777" w:rsidR="00946CAB" w:rsidRPr="00AF312A" w:rsidRDefault="007B5ECC" w:rsidP="003E02C8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 основании изложенного суд заключил, что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о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договору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об открытии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невозобновляемой кредитной линии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от 20.10.2010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и 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оговору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об открытии невозобновляемой кредитной линии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от 02.09.2011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б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анку причинен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уб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ыток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 сумму: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39C3F52D" w14:textId="77777777" w:rsidR="00F21784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Установив указанные обстоятельства, руководствуясь ст.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ст.15,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1064 ГК РФ, суд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взыскал с Ларицкого А.Э.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в пользу ПАО «Сбербанк России» в счет возмещения ущерба, причи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ненного преступлением,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частичное погашение долга Ларицким А.Э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.)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DA1997D" w14:textId="77777777" w:rsidR="00ED5A26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>Рассматривая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>исковые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 xml:space="preserve"> требования Компании «Ремигал Консалтантс Лимитед»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 xml:space="preserve">, суд 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 xml:space="preserve">руководствовался также ст.382 ГК РФ и 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>пришел к выводу  о том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>, что договор уступки №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 xml:space="preserve"> от 28.01.2014г., заключенный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 xml:space="preserve">  между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 xml:space="preserve"> ПАО «Сбербанк России» и Компанией «Ремигал Консалтант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>с Лимитед», не п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 xml:space="preserve">ородил юридических последствий, поскольку 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 xml:space="preserve">денежные средства, полученные по договору об открытии кредитной линии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 xml:space="preserve"> от 20.10.2010г., по договору об открытии кредитной линии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64126C">
        <w:rPr>
          <w:rFonts w:ascii="Times New Roman" w:eastAsia="Times New Roman" w:hAnsi="Times New Roman"/>
          <w:sz w:val="24"/>
          <w:szCs w:val="24"/>
          <w:lang w:eastAsia="ru-RU"/>
        </w:rPr>
        <w:t xml:space="preserve"> от 02.09.2011г., по договору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об открытии кредитной линии №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117/12 от 27.09.2012г., право требования по которым переданы Компании «Ремигал Консалтантс Лимитед»,  были похищены Ларицким А.Э.</w:t>
      </w:r>
    </w:p>
    <w:p w14:paraId="2B8A1798" w14:textId="77777777" w:rsidR="00A47B86" w:rsidRDefault="007B5ECC" w:rsidP="003E02C8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Суд указал, что, заключая договор цессии, ПАО «Сбербанк России» передало Компании недействительное право требования,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поскольк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ПАО «Сберба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нк России» не могло знать, что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оно фактически отчуждает Компании «Ремигал Консалтантс Лимитед» несуществующее у него право требования. При этом суд установил, что Компания «Ремигал Консалтантс Лимитед» во исполнение договора цессии уплатило ПА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О «Сбербанк России»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BB7EB1F" w14:textId="77777777" w:rsidR="005E2093" w:rsidRPr="00AF312A" w:rsidRDefault="007B5ECC" w:rsidP="00B15A21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Установив приведенные выше обстоятельства, суд пришел к выводу, что по вине ответчика Ларицкого А.Э., совершившего хищение денежных средств, полученных по договорам об открытии кредитной линии,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Компании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«Ремигал Консалтантс Лимитед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 причинен ущерб в размере денежных средств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уплаченных ОАО «СЬербанк России» по договору цессии за недействительное право требования. В связи с чем суд взыскал с ответчика в пользу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Компании «Ремигал Консалтантс Лимите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д»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убытки в указанном размере.</w:t>
      </w:r>
    </w:p>
    <w:p w14:paraId="09C3FA5A" w14:textId="77777777" w:rsidR="00A7730F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Суд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ебные расходы по делу распределены судом в порядке ст.98 ГПК РФ.</w:t>
      </w:r>
    </w:p>
    <w:p w14:paraId="3E680C5D" w14:textId="77777777" w:rsidR="000D663A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Проверяя законность решения в апелляционном порядке, судебная коллегия согласилась с выводами районного суда.</w:t>
      </w:r>
    </w:p>
    <w:p w14:paraId="38AF1212" w14:textId="77777777" w:rsidR="00A673BF" w:rsidRPr="00AF312A" w:rsidRDefault="007B5ECC" w:rsidP="000D663A">
      <w:pPr>
        <w:pStyle w:val="a9"/>
        <w:tabs>
          <w:tab w:val="left" w:pos="0"/>
        </w:tabs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Отклоняя  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овод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кассационной жалобы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Ларицкого А.Э. о злоупотреблении Ком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панией «Ремигал Консалтантс Лимитед» правом на взыскание задолженности по одному и тому же договору, судебная коллегия отк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лонила, указав, что согласно решению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Октябрьского районного суда города Кирова от 05 марта 2014г. следует, что на основании уступки пр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ав требований, в пользу Компании «Ремигал Консалтантс Лимитед» взыскана задолженность по договору об открытии не возобновляемой кредитной линии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от 02.09.2011г.  на сумму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.  </w:t>
      </w:r>
    </w:p>
    <w:p w14:paraId="2F54FE8D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Обжалуемым решением взысканы убытки причинённые ответчиком в результате п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реступных действий.</w:t>
      </w:r>
    </w:p>
    <w:p w14:paraId="6AB64209" w14:textId="77777777" w:rsidR="00A673BF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Довод жалобы о том, что  суд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принимая решение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 вышел за пределы  исковых требований, сделав вывод  о том, что договор цессии от 28.01.2014г. не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породил юридических последствий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, тем самым признал его недействительным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 xml:space="preserve">, судебная коллегия 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отклонила, так как указанный довод н</w:t>
      </w:r>
      <w:r w:rsidRPr="00AF312A">
        <w:rPr>
          <w:rFonts w:ascii="Times New Roman" w:eastAsia="Times New Roman" w:hAnsi="Times New Roman"/>
          <w:sz w:val="24"/>
          <w:szCs w:val="24"/>
          <w:lang w:eastAsia="ru-RU"/>
        </w:rPr>
        <w:t>аправлен на неправильное толкование выводов суда. Решением суда договор цессии недействительным не признан.</w:t>
      </w:r>
    </w:p>
    <w:p w14:paraId="6D1032CD" w14:textId="77777777" w:rsidR="00B830E5" w:rsidRPr="00AF312A" w:rsidRDefault="007B5ECC" w:rsidP="00AF312A">
      <w:pPr>
        <w:pStyle w:val="a9"/>
        <w:tabs>
          <w:tab w:val="left" w:pos="0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>Проверяя законность</w:t>
      </w:r>
      <w:r w:rsidRPr="00AF312A">
        <w:rPr>
          <w:rFonts w:ascii="Times New Roman" w:hAnsi="Times New Roman"/>
          <w:sz w:val="24"/>
          <w:szCs w:val="24"/>
        </w:rPr>
        <w:t xml:space="preserve"> </w:t>
      </w:r>
      <w:r w:rsidRPr="00AF312A">
        <w:rPr>
          <w:rFonts w:ascii="Times New Roman" w:hAnsi="Times New Roman"/>
          <w:sz w:val="24"/>
          <w:szCs w:val="24"/>
        </w:rPr>
        <w:t>решения</w:t>
      </w:r>
      <w:r w:rsidRPr="00AF312A">
        <w:rPr>
          <w:rFonts w:ascii="Times New Roman" w:hAnsi="Times New Roman"/>
          <w:sz w:val="24"/>
          <w:szCs w:val="24"/>
        </w:rPr>
        <w:t xml:space="preserve"> в апелляционном порядке, суд апелляционной инстанции не усм</w:t>
      </w:r>
      <w:r w:rsidRPr="00AF312A">
        <w:rPr>
          <w:rFonts w:ascii="Times New Roman" w:hAnsi="Times New Roman"/>
          <w:sz w:val="24"/>
          <w:szCs w:val="24"/>
        </w:rPr>
        <w:t>отрел оснований для его о</w:t>
      </w:r>
      <w:r w:rsidRPr="00AF312A">
        <w:rPr>
          <w:rFonts w:ascii="Times New Roman" w:hAnsi="Times New Roman"/>
          <w:sz w:val="24"/>
          <w:szCs w:val="24"/>
        </w:rPr>
        <w:t>тмены, с выводами районного суда согласился.</w:t>
      </w:r>
    </w:p>
    <w:p w14:paraId="2179D304" w14:textId="77777777" w:rsidR="00D20AE1" w:rsidRPr="00AF312A" w:rsidRDefault="007B5ECC" w:rsidP="00AF312A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>Выводы судов первой и апелляционной инстанций требованиям закона</w:t>
      </w:r>
      <w:r w:rsidRPr="00AF312A">
        <w:rPr>
          <w:rFonts w:ascii="Times New Roman" w:hAnsi="Times New Roman"/>
          <w:sz w:val="24"/>
          <w:szCs w:val="24"/>
        </w:rPr>
        <w:t xml:space="preserve"> </w:t>
      </w:r>
      <w:r w:rsidRPr="00AF312A">
        <w:rPr>
          <w:rFonts w:ascii="Times New Roman" w:hAnsi="Times New Roman"/>
          <w:sz w:val="24"/>
          <w:szCs w:val="24"/>
        </w:rPr>
        <w:t>не противоречат и доводами кассационной жалобы не опровергаются.</w:t>
      </w:r>
    </w:p>
    <w:p w14:paraId="59A113B2" w14:textId="77777777" w:rsidR="003E3268" w:rsidRPr="00AF312A" w:rsidRDefault="007B5ECC" w:rsidP="00AF312A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>Довод кассационной жалобы о том, что при рассмотрении указанного сопора суд вышел</w:t>
      </w:r>
      <w:r w:rsidRPr="00AF312A">
        <w:rPr>
          <w:rFonts w:ascii="Times New Roman" w:hAnsi="Times New Roman"/>
          <w:sz w:val="24"/>
          <w:szCs w:val="24"/>
        </w:rPr>
        <w:t xml:space="preserve"> за пределы исковых требований, </w:t>
      </w:r>
      <w:r w:rsidRPr="00AF312A">
        <w:rPr>
          <w:rFonts w:ascii="Times New Roman" w:hAnsi="Times New Roman"/>
          <w:sz w:val="24"/>
          <w:szCs w:val="24"/>
        </w:rPr>
        <w:t xml:space="preserve"> не может служить основанием для  отмены принятых по делу постановлений, поскольку являлся предметом тщательной проверки судебной коллегии, которая правомерно и мотивировано его отклонила, отразив свои выводы в апелляционном</w:t>
      </w:r>
      <w:r w:rsidRPr="00AF312A">
        <w:rPr>
          <w:rFonts w:ascii="Times New Roman" w:hAnsi="Times New Roman"/>
          <w:sz w:val="24"/>
          <w:szCs w:val="24"/>
        </w:rPr>
        <w:t xml:space="preserve"> определении. Оснований считать выводы судебной коллегии ошибочными не имеется.</w:t>
      </w:r>
    </w:p>
    <w:p w14:paraId="137D8C4D" w14:textId="77777777" w:rsidR="003E3268" w:rsidRPr="00AF312A" w:rsidRDefault="007B5ECC" w:rsidP="00AF312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AF312A">
        <w:rPr>
          <w:rFonts w:ascii="Times New Roman" w:eastAsia="Calibri" w:hAnsi="Times New Roman"/>
          <w:sz w:val="24"/>
          <w:szCs w:val="24"/>
          <w:lang w:eastAsia="ru-RU"/>
        </w:rPr>
        <w:t>Доводы кассационной жалобы о том, что ПАО «Сбербанк России» в соответствии с договором цессии №</w:t>
      </w:r>
      <w:r>
        <w:rPr>
          <w:rFonts w:ascii="Times New Roman" w:eastAsia="Calibri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Calibri" w:hAnsi="Times New Roman"/>
          <w:sz w:val="24"/>
          <w:szCs w:val="24"/>
          <w:lang w:eastAsia="ru-RU"/>
        </w:rPr>
        <w:t xml:space="preserve"> от 28 января 2014 года передал свои права по договору №</w:t>
      </w:r>
      <w:r>
        <w:rPr>
          <w:rFonts w:ascii="Times New Roman" w:eastAsia="Calibri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Calibri" w:hAnsi="Times New Roman"/>
          <w:sz w:val="24"/>
          <w:szCs w:val="24"/>
          <w:lang w:eastAsia="ru-RU"/>
        </w:rPr>
        <w:t xml:space="preserve"> об открытии невозо</w:t>
      </w:r>
      <w:r w:rsidRPr="00AF312A">
        <w:rPr>
          <w:rFonts w:ascii="Times New Roman" w:eastAsia="Calibri" w:hAnsi="Times New Roman"/>
          <w:sz w:val="24"/>
          <w:szCs w:val="24"/>
          <w:lang w:eastAsia="ru-RU"/>
        </w:rPr>
        <w:t>бновляемой кредитной линии от 20 октября 2010 года и по договору №</w:t>
      </w:r>
      <w:r>
        <w:rPr>
          <w:rFonts w:ascii="Times New Roman" w:eastAsia="Calibri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Calibri" w:hAnsi="Times New Roman"/>
          <w:sz w:val="24"/>
          <w:szCs w:val="24"/>
          <w:lang w:eastAsia="ru-RU"/>
        </w:rPr>
        <w:t xml:space="preserve"> об открытии невозобновляемой кредитной линии от 02 сентября 2011 года, в том числе и права по договорам  поручительства № </w:t>
      </w:r>
      <w:r>
        <w:rPr>
          <w:rFonts w:ascii="Times New Roman" w:eastAsia="Calibri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Calibri" w:hAnsi="Times New Roman"/>
          <w:sz w:val="24"/>
          <w:szCs w:val="24"/>
          <w:lang w:eastAsia="ru-RU"/>
        </w:rPr>
        <w:t xml:space="preserve"> от 24 ноября 2010 года и № </w:t>
      </w:r>
      <w:r>
        <w:rPr>
          <w:rFonts w:ascii="Times New Roman" w:eastAsia="Calibri" w:hAnsi="Times New Roman"/>
          <w:sz w:val="24"/>
          <w:szCs w:val="24"/>
          <w:lang w:eastAsia="ru-RU"/>
        </w:rPr>
        <w:t>***</w:t>
      </w:r>
      <w:r w:rsidRPr="00AF312A">
        <w:rPr>
          <w:rFonts w:ascii="Times New Roman" w:eastAsia="Calibri" w:hAnsi="Times New Roman"/>
          <w:sz w:val="24"/>
          <w:szCs w:val="24"/>
          <w:lang w:eastAsia="ru-RU"/>
        </w:rPr>
        <w:t xml:space="preserve"> от 05 октября 2012 года, закл</w:t>
      </w:r>
      <w:r w:rsidRPr="00AF312A">
        <w:rPr>
          <w:rFonts w:ascii="Times New Roman" w:eastAsia="Calibri" w:hAnsi="Times New Roman"/>
          <w:sz w:val="24"/>
          <w:szCs w:val="24"/>
          <w:lang w:eastAsia="ru-RU"/>
        </w:rPr>
        <w:t>юченных с Ларицким А.Э. для обеспечения исполнения обязательств по своевременному возврату кредита, в следствие чего, у истца ПАО «Сбербанк России» отсутствовало право на обращение с иском к ответчику, так как договор цессии не оспорен и не признан незаклю</w:t>
      </w:r>
      <w:r w:rsidRPr="00AF312A">
        <w:rPr>
          <w:rFonts w:ascii="Times New Roman" w:eastAsia="Calibri" w:hAnsi="Times New Roman"/>
          <w:sz w:val="24"/>
          <w:szCs w:val="24"/>
          <w:lang w:eastAsia="ru-RU"/>
        </w:rPr>
        <w:t xml:space="preserve">ченным.  </w:t>
      </w:r>
    </w:p>
    <w:p w14:paraId="527C2A62" w14:textId="77777777" w:rsidR="003E3268" w:rsidRPr="00AF312A" w:rsidRDefault="007B5ECC" w:rsidP="00AF312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AF312A">
        <w:rPr>
          <w:rFonts w:ascii="Times New Roman" w:eastAsia="Calibri" w:hAnsi="Times New Roman"/>
          <w:sz w:val="24"/>
          <w:szCs w:val="24"/>
          <w:lang w:eastAsia="ru-RU"/>
        </w:rPr>
        <w:t>Кроме того, передавая право требования Компании «Ремигал Консалтантс Лимитед» истец осуществлял предпринимательскую деятельность, то есть действовал на свой страх и риск, поэтому заявленные требования являются результатом добровольных действий ис</w:t>
      </w:r>
      <w:r w:rsidRPr="00AF312A">
        <w:rPr>
          <w:rFonts w:ascii="Times New Roman" w:eastAsia="Calibri" w:hAnsi="Times New Roman"/>
          <w:sz w:val="24"/>
          <w:szCs w:val="24"/>
          <w:lang w:eastAsia="ru-RU"/>
        </w:rPr>
        <w:t xml:space="preserve">тца по получению прибыли в сфере осуществления им предпринимательской деятельности. Также законодательством запрещается двойное  взыскание по одному и тому же договору, следовательно,  истец злоупотребляет правом. </w:t>
      </w:r>
    </w:p>
    <w:p w14:paraId="0072C53A" w14:textId="77777777" w:rsidR="003E3268" w:rsidRPr="00AF312A" w:rsidRDefault="007B5ECC" w:rsidP="00AF312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AF312A">
        <w:rPr>
          <w:rFonts w:ascii="Times New Roman" w:eastAsia="Calibri" w:hAnsi="Times New Roman"/>
          <w:sz w:val="24"/>
          <w:szCs w:val="24"/>
          <w:lang w:eastAsia="ru-RU"/>
        </w:rPr>
        <w:t>Указанные доводы жалобы не опровергают вы</w:t>
      </w:r>
      <w:r w:rsidRPr="00AF312A">
        <w:rPr>
          <w:rFonts w:ascii="Times New Roman" w:eastAsia="Calibri" w:hAnsi="Times New Roman"/>
          <w:sz w:val="24"/>
          <w:szCs w:val="24"/>
          <w:lang w:eastAsia="ru-RU"/>
        </w:rPr>
        <w:t>воды суда об удовлетворении заявленных требований, направлены на переоценку собранных по делу доказательств и установленных судом обстоятельств.</w:t>
      </w:r>
    </w:p>
    <w:p w14:paraId="4E04EA75" w14:textId="77777777" w:rsidR="00F33758" w:rsidRPr="00AF312A" w:rsidRDefault="007B5ECC" w:rsidP="00AF312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>Обжалуем</w:t>
      </w:r>
      <w:r w:rsidRPr="00AF312A">
        <w:rPr>
          <w:rFonts w:ascii="Times New Roman" w:hAnsi="Times New Roman"/>
          <w:sz w:val="24"/>
          <w:szCs w:val="24"/>
        </w:rPr>
        <w:t>ы</w:t>
      </w:r>
      <w:r w:rsidRPr="00AF312A">
        <w:rPr>
          <w:rFonts w:ascii="Times New Roman" w:hAnsi="Times New Roman"/>
          <w:sz w:val="24"/>
          <w:szCs w:val="24"/>
        </w:rPr>
        <w:t>е судебн</w:t>
      </w:r>
      <w:r w:rsidRPr="00AF312A">
        <w:rPr>
          <w:rFonts w:ascii="Times New Roman" w:hAnsi="Times New Roman"/>
          <w:sz w:val="24"/>
          <w:szCs w:val="24"/>
        </w:rPr>
        <w:t>ы</w:t>
      </w:r>
      <w:r w:rsidRPr="00AF312A">
        <w:rPr>
          <w:rFonts w:ascii="Times New Roman" w:hAnsi="Times New Roman"/>
          <w:sz w:val="24"/>
          <w:szCs w:val="24"/>
        </w:rPr>
        <w:t>е постановлени</w:t>
      </w:r>
      <w:r w:rsidRPr="00AF312A">
        <w:rPr>
          <w:rFonts w:ascii="Times New Roman" w:hAnsi="Times New Roman"/>
          <w:sz w:val="24"/>
          <w:szCs w:val="24"/>
        </w:rPr>
        <w:t>я</w:t>
      </w:r>
      <w:r w:rsidRPr="00AF312A">
        <w:rPr>
          <w:rFonts w:ascii="Times New Roman" w:hAnsi="Times New Roman"/>
          <w:sz w:val="24"/>
          <w:szCs w:val="24"/>
        </w:rPr>
        <w:t xml:space="preserve"> сомнений в </w:t>
      </w:r>
      <w:r w:rsidRPr="00AF312A">
        <w:rPr>
          <w:rFonts w:ascii="Times New Roman" w:hAnsi="Times New Roman"/>
          <w:sz w:val="24"/>
          <w:szCs w:val="24"/>
        </w:rPr>
        <w:t>их</w:t>
      </w:r>
      <w:r w:rsidRPr="00AF312A">
        <w:rPr>
          <w:rFonts w:ascii="Times New Roman" w:hAnsi="Times New Roman"/>
          <w:sz w:val="24"/>
          <w:szCs w:val="24"/>
        </w:rPr>
        <w:t xml:space="preserve"> законности с учетом доводов кассационной жалобы не вызыва</w:t>
      </w:r>
      <w:r w:rsidRPr="00AF312A">
        <w:rPr>
          <w:rFonts w:ascii="Times New Roman" w:hAnsi="Times New Roman"/>
          <w:sz w:val="24"/>
          <w:szCs w:val="24"/>
        </w:rPr>
        <w:t>ю</w:t>
      </w:r>
      <w:r w:rsidRPr="00AF312A">
        <w:rPr>
          <w:rFonts w:ascii="Times New Roman" w:hAnsi="Times New Roman"/>
          <w:sz w:val="24"/>
          <w:szCs w:val="24"/>
        </w:rPr>
        <w:t xml:space="preserve">т, а </w:t>
      </w:r>
      <w:r w:rsidRPr="00AF312A">
        <w:rPr>
          <w:rFonts w:ascii="Times New Roman" w:hAnsi="Times New Roman"/>
          <w:sz w:val="24"/>
          <w:szCs w:val="24"/>
        </w:rPr>
        <w:t xml:space="preserve">предусмотренные </w:t>
      </w:r>
      <w:hyperlink r:id="rId8" w:history="1">
        <w:r w:rsidRPr="00AF312A">
          <w:rPr>
            <w:rFonts w:ascii="Times New Roman" w:hAnsi="Times New Roman"/>
            <w:sz w:val="24"/>
            <w:szCs w:val="24"/>
          </w:rPr>
          <w:t>ст. 387</w:t>
        </w:r>
      </w:hyperlink>
      <w:r w:rsidRPr="00AF312A">
        <w:rPr>
          <w:rFonts w:ascii="Times New Roman" w:hAnsi="Times New Roman"/>
          <w:sz w:val="24"/>
          <w:szCs w:val="24"/>
        </w:rPr>
        <w:t xml:space="preserve"> ГПК РФ основания для </w:t>
      </w:r>
      <w:r w:rsidRPr="00AF312A">
        <w:rPr>
          <w:rFonts w:ascii="Times New Roman" w:hAnsi="Times New Roman"/>
          <w:sz w:val="24"/>
          <w:szCs w:val="24"/>
        </w:rPr>
        <w:t>их</w:t>
      </w:r>
      <w:r w:rsidRPr="00AF312A">
        <w:rPr>
          <w:rFonts w:ascii="Times New Roman" w:hAnsi="Times New Roman"/>
          <w:sz w:val="24"/>
          <w:szCs w:val="24"/>
        </w:rPr>
        <w:t xml:space="preserve"> отмены или изменения в настоящем случае отсутствуют.</w:t>
      </w:r>
    </w:p>
    <w:p w14:paraId="2DA360AD" w14:textId="77777777" w:rsidR="005A5F82" w:rsidRPr="00AF312A" w:rsidRDefault="007B5ECC" w:rsidP="00AF31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AF312A">
        <w:rPr>
          <w:rFonts w:ascii="Times New Roman" w:eastAsia="Calibri" w:hAnsi="Times New Roman"/>
          <w:sz w:val="24"/>
          <w:szCs w:val="24"/>
        </w:rPr>
        <w:t xml:space="preserve">        Основания для передачи к</w:t>
      </w:r>
      <w:r w:rsidRPr="00AF312A">
        <w:rPr>
          <w:rFonts w:ascii="Times New Roman" w:eastAsia="Calibri" w:hAnsi="Times New Roman"/>
          <w:sz w:val="24"/>
          <w:szCs w:val="24"/>
        </w:rPr>
        <w:t>ассационной жалобы для рассмотрения в судебном заседании суда кассационной инстанции отсутствуют.</w:t>
      </w:r>
    </w:p>
    <w:p w14:paraId="6FC08770" w14:textId="77777777" w:rsidR="00D20AE1" w:rsidRPr="00AF312A" w:rsidRDefault="007B5ECC" w:rsidP="00AF312A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AF312A">
        <w:rPr>
          <w:rFonts w:ascii="Times New Roman" w:eastAsia="Calibri" w:hAnsi="Times New Roman"/>
          <w:sz w:val="24"/>
          <w:szCs w:val="24"/>
          <w:lang w:eastAsia="ru-RU"/>
        </w:rPr>
        <w:t xml:space="preserve">Руководствуясь </w:t>
      </w:r>
      <w:hyperlink r:id="rId9" w:history="1">
        <w:r w:rsidRPr="00AF312A">
          <w:rPr>
            <w:rFonts w:ascii="Times New Roman" w:eastAsia="Calibri" w:hAnsi="Times New Roman"/>
            <w:color w:val="0000FF"/>
            <w:sz w:val="24"/>
            <w:szCs w:val="24"/>
            <w:lang w:eastAsia="ru-RU"/>
          </w:rPr>
          <w:t>ст. ст. 381</w:t>
        </w:r>
      </w:hyperlink>
      <w:r w:rsidRPr="00AF312A">
        <w:rPr>
          <w:rFonts w:ascii="Times New Roman" w:eastAsia="Calibri" w:hAnsi="Times New Roman"/>
          <w:sz w:val="24"/>
          <w:szCs w:val="24"/>
          <w:lang w:eastAsia="ru-RU"/>
        </w:rPr>
        <w:t xml:space="preserve">, </w:t>
      </w:r>
      <w:hyperlink r:id="rId10" w:history="1">
        <w:r w:rsidRPr="00AF312A">
          <w:rPr>
            <w:rFonts w:ascii="Times New Roman" w:eastAsia="Calibri" w:hAnsi="Times New Roman"/>
            <w:color w:val="0000FF"/>
            <w:sz w:val="24"/>
            <w:szCs w:val="24"/>
            <w:lang w:eastAsia="ru-RU"/>
          </w:rPr>
          <w:t>383</w:t>
        </w:r>
      </w:hyperlink>
      <w:r w:rsidRPr="00AF312A">
        <w:rPr>
          <w:rFonts w:ascii="Times New Roman" w:eastAsia="Calibri" w:hAnsi="Times New Roman"/>
          <w:sz w:val="24"/>
          <w:szCs w:val="24"/>
          <w:lang w:eastAsia="ru-RU"/>
        </w:rPr>
        <w:t xml:space="preserve">, </w:t>
      </w:r>
      <w:hyperlink r:id="rId11" w:history="1">
        <w:r w:rsidRPr="00AF312A">
          <w:rPr>
            <w:rFonts w:ascii="Times New Roman" w:eastAsia="Calibri" w:hAnsi="Times New Roman"/>
            <w:color w:val="0000FF"/>
            <w:sz w:val="24"/>
            <w:szCs w:val="24"/>
            <w:lang w:eastAsia="ru-RU"/>
          </w:rPr>
          <w:t>387</w:t>
        </w:r>
      </w:hyperlink>
      <w:r w:rsidRPr="00AF312A">
        <w:rPr>
          <w:rFonts w:ascii="Times New Roman" w:eastAsia="Calibri" w:hAnsi="Times New Roman"/>
          <w:sz w:val="24"/>
          <w:szCs w:val="24"/>
          <w:lang w:eastAsia="ru-RU"/>
        </w:rPr>
        <w:t xml:space="preserve"> ГПК РФ,</w:t>
      </w:r>
    </w:p>
    <w:p w14:paraId="4818D58A" w14:textId="77777777" w:rsidR="00D20AE1" w:rsidRPr="00AF312A" w:rsidRDefault="007B5ECC" w:rsidP="00AF312A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BC4E0BA" w14:textId="77777777" w:rsidR="00D20AE1" w:rsidRPr="00AF312A" w:rsidRDefault="007B5ECC" w:rsidP="00AF312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spacing w:val="40"/>
          <w:sz w:val="24"/>
          <w:szCs w:val="24"/>
        </w:rPr>
      </w:pPr>
      <w:r w:rsidRPr="00AF312A">
        <w:rPr>
          <w:rFonts w:ascii="Times New Roman" w:hAnsi="Times New Roman"/>
          <w:spacing w:val="40"/>
          <w:sz w:val="24"/>
          <w:szCs w:val="24"/>
        </w:rPr>
        <w:t>определил:</w:t>
      </w:r>
    </w:p>
    <w:p w14:paraId="4AEE385B" w14:textId="77777777" w:rsidR="00D20AE1" w:rsidRPr="00AF312A" w:rsidRDefault="007B5ECC" w:rsidP="00AF312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pacing w:val="40"/>
          <w:sz w:val="24"/>
          <w:szCs w:val="24"/>
        </w:rPr>
      </w:pPr>
    </w:p>
    <w:p w14:paraId="2FF4CD68" w14:textId="77777777" w:rsidR="00D20AE1" w:rsidRPr="00AF312A" w:rsidRDefault="007B5ECC" w:rsidP="00AF312A">
      <w:pPr>
        <w:keepNext/>
        <w:keepLines/>
        <w:tabs>
          <w:tab w:val="left" w:pos="0"/>
        </w:tabs>
        <w:spacing w:after="0" w:line="240" w:lineRule="auto"/>
        <w:ind w:firstLine="567"/>
        <w:jc w:val="both"/>
        <w:outlineLvl w:val="0"/>
        <w:rPr>
          <w:rFonts w:ascii="Times New Roman" w:hAnsi="Times New Roman"/>
          <w:bCs/>
          <w:sz w:val="24"/>
          <w:szCs w:val="24"/>
        </w:rPr>
      </w:pPr>
      <w:r w:rsidRPr="00AF312A">
        <w:rPr>
          <w:rFonts w:ascii="Times New Roman" w:hAnsi="Times New Roman"/>
          <w:bCs/>
          <w:sz w:val="24"/>
          <w:szCs w:val="24"/>
          <w:lang w:eastAsia="ru-RU"/>
        </w:rPr>
        <w:t>в передаче кассационной жалобы Ларицкого А.Э. на решение Пресненского районного суда г. Москвы от 08 февраля 2018 года и апелляционное определение судебной коллегии по гражданским делам Московского городского суда от 22 июня 2018 года по гражд</w:t>
      </w:r>
      <w:r w:rsidRPr="00AF312A">
        <w:rPr>
          <w:rFonts w:ascii="Times New Roman" w:hAnsi="Times New Roman"/>
          <w:bCs/>
          <w:sz w:val="24"/>
          <w:szCs w:val="24"/>
          <w:lang w:eastAsia="ru-RU"/>
        </w:rPr>
        <w:t>анскому делу по иску ПАО «Сбербанк России» к Ларицкому А.Э. о возмещении материального ущерба, причиненного преступлением, по иску Компании «Ремигал Консалтантс Лимитед» к Ларицкому А.Э. о взыскании материального ущерба для рассмотрения в судебном заседани</w:t>
      </w:r>
      <w:r w:rsidRPr="00AF312A">
        <w:rPr>
          <w:rFonts w:ascii="Times New Roman" w:hAnsi="Times New Roman"/>
          <w:bCs/>
          <w:sz w:val="24"/>
          <w:szCs w:val="24"/>
          <w:lang w:eastAsia="ru-RU"/>
        </w:rPr>
        <w:t>и суда кассационной инстанции отказать.</w:t>
      </w:r>
    </w:p>
    <w:p w14:paraId="5D78DA28" w14:textId="77777777" w:rsidR="00D20AE1" w:rsidRPr="00AF312A" w:rsidRDefault="007B5ECC" w:rsidP="00AF312A">
      <w:pPr>
        <w:keepNext/>
        <w:keepLines/>
        <w:tabs>
          <w:tab w:val="left" w:pos="0"/>
        </w:tabs>
        <w:spacing w:after="0" w:line="240" w:lineRule="auto"/>
        <w:ind w:firstLine="567"/>
        <w:jc w:val="both"/>
        <w:outlineLvl w:val="0"/>
        <w:rPr>
          <w:rFonts w:ascii="Times New Roman" w:hAnsi="Times New Roman"/>
          <w:bCs/>
          <w:sz w:val="24"/>
          <w:szCs w:val="24"/>
        </w:rPr>
      </w:pPr>
    </w:p>
    <w:p w14:paraId="00562666" w14:textId="77777777" w:rsidR="00D20AE1" w:rsidRPr="00AF312A" w:rsidRDefault="007B5ECC" w:rsidP="00AF312A">
      <w:pPr>
        <w:keepNext/>
        <w:keepLines/>
        <w:tabs>
          <w:tab w:val="left" w:pos="0"/>
        </w:tabs>
        <w:spacing w:after="0" w:line="240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  <w:r w:rsidRPr="00AF312A">
        <w:rPr>
          <w:rFonts w:ascii="Times New Roman" w:hAnsi="Times New Roman"/>
          <w:bCs/>
          <w:sz w:val="24"/>
          <w:szCs w:val="24"/>
        </w:rPr>
        <w:t xml:space="preserve">Судья Московского </w:t>
      </w:r>
    </w:p>
    <w:p w14:paraId="040BBFD2" w14:textId="77777777" w:rsidR="00D20AE1" w:rsidRPr="00AF312A" w:rsidRDefault="007B5ECC" w:rsidP="00AF312A">
      <w:pPr>
        <w:widowControl w:val="0"/>
        <w:tabs>
          <w:tab w:val="left" w:pos="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312A">
        <w:rPr>
          <w:rFonts w:ascii="Times New Roman" w:hAnsi="Times New Roman"/>
          <w:sz w:val="24"/>
          <w:szCs w:val="24"/>
        </w:rPr>
        <w:t>городского суда</w:t>
      </w:r>
      <w:r w:rsidRPr="00AF312A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Pr="00AF312A">
        <w:rPr>
          <w:rFonts w:ascii="Times New Roman" w:hAnsi="Times New Roman"/>
          <w:sz w:val="24"/>
          <w:szCs w:val="24"/>
        </w:rPr>
        <w:tab/>
      </w:r>
      <w:r w:rsidRPr="00AF312A">
        <w:rPr>
          <w:rFonts w:ascii="Times New Roman" w:hAnsi="Times New Roman"/>
          <w:sz w:val="24"/>
          <w:szCs w:val="24"/>
        </w:rPr>
        <w:tab/>
      </w:r>
      <w:r w:rsidRPr="00AF312A">
        <w:rPr>
          <w:rFonts w:ascii="Times New Roman" w:hAnsi="Times New Roman"/>
          <w:sz w:val="24"/>
          <w:szCs w:val="24"/>
        </w:rPr>
        <w:t xml:space="preserve"> С.И. Колосова</w:t>
      </w:r>
    </w:p>
    <w:p w14:paraId="51CA8793" w14:textId="77777777" w:rsidR="00D20AE1" w:rsidRPr="00AF312A" w:rsidRDefault="007B5ECC" w:rsidP="00AF312A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61BFE1A9" w14:textId="77777777" w:rsidR="00B077DF" w:rsidRPr="00AF312A" w:rsidRDefault="007B5ECC" w:rsidP="00AF312A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sectPr w:rsidR="00B077DF" w:rsidRPr="00AF312A" w:rsidSect="00EC454C">
      <w:footerReference w:type="even" r:id="rId12"/>
      <w:footerReference w:type="default" r:id="rId13"/>
      <w:pgSz w:w="11906" w:h="16838"/>
      <w:pgMar w:top="1134" w:right="992" w:bottom="993" w:left="1418" w:header="709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14A18" w14:textId="77777777" w:rsidR="000D7E17" w:rsidRDefault="007B5ECC">
      <w:pPr>
        <w:spacing w:after="0" w:line="240" w:lineRule="auto"/>
      </w:pPr>
      <w:r>
        <w:separator/>
      </w:r>
    </w:p>
  </w:endnote>
  <w:endnote w:type="continuationSeparator" w:id="0">
    <w:p w14:paraId="2298A047" w14:textId="77777777" w:rsidR="000D7E17" w:rsidRDefault="007B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0AB4C" w14:textId="77777777" w:rsidR="00B077DF" w:rsidRDefault="007B5ECC" w:rsidP="00B077D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00085064" w14:textId="77777777" w:rsidR="00B077DF" w:rsidRDefault="007B5ECC" w:rsidP="00B077D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A71C5" w14:textId="77777777" w:rsidR="00B077DF" w:rsidRPr="00EC454C" w:rsidRDefault="007B5ECC">
    <w:pPr>
      <w:pStyle w:val="a3"/>
      <w:jc w:val="right"/>
      <w:rPr>
        <w:rFonts w:ascii="Times New Roman" w:hAnsi="Times New Roman"/>
      </w:rPr>
    </w:pPr>
    <w:r w:rsidRPr="00EC454C">
      <w:rPr>
        <w:rFonts w:ascii="Times New Roman" w:hAnsi="Times New Roman"/>
      </w:rPr>
      <w:fldChar w:fldCharType="begin"/>
    </w:r>
    <w:r w:rsidRPr="00EC454C">
      <w:rPr>
        <w:rFonts w:ascii="Times New Roman" w:hAnsi="Times New Roman"/>
      </w:rPr>
      <w:instrText>PAGE   \* MERGEFORMAT</w:instrText>
    </w:r>
    <w:r w:rsidRPr="00EC454C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</w:t>
    </w:r>
    <w:r w:rsidRPr="00EC454C">
      <w:rPr>
        <w:rFonts w:ascii="Times New Roman" w:hAnsi="Times New Roman"/>
      </w:rPr>
      <w:fldChar w:fldCharType="end"/>
    </w:r>
  </w:p>
  <w:p w14:paraId="625B7ED6" w14:textId="77777777" w:rsidR="00B077DF" w:rsidRDefault="007B5ECC" w:rsidP="00B077D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1007D" w14:textId="77777777" w:rsidR="000D7E17" w:rsidRDefault="007B5ECC">
      <w:pPr>
        <w:spacing w:after="0" w:line="240" w:lineRule="auto"/>
      </w:pPr>
      <w:r>
        <w:separator/>
      </w:r>
    </w:p>
  </w:footnote>
  <w:footnote w:type="continuationSeparator" w:id="0">
    <w:p w14:paraId="752F9B82" w14:textId="77777777" w:rsidR="000D7E17" w:rsidRDefault="007B5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2BC0"/>
    <w:rsid w:val="007B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5277C53"/>
  <w15:chartTrackingRefBased/>
  <w15:docId w15:val="{FE668492-7506-4D7F-B4DE-883ED304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AE1"/>
    <w:pPr>
      <w:spacing w:after="160" w:line="259" w:lineRule="auto"/>
    </w:pPr>
    <w:rPr>
      <w:rFonts w:eastAsia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20AE1"/>
    <w:pPr>
      <w:tabs>
        <w:tab w:val="center" w:pos="4677"/>
        <w:tab w:val="right" w:pos="9355"/>
      </w:tabs>
    </w:pPr>
    <w:rPr>
      <w:sz w:val="20"/>
      <w:szCs w:val="20"/>
      <w:lang w:val="x-none" w:eastAsia="x-none"/>
    </w:rPr>
  </w:style>
  <w:style w:type="character" w:customStyle="1" w:styleId="a4">
    <w:name w:val="Нижний колонтитул Знак"/>
    <w:link w:val="a3"/>
    <w:uiPriority w:val="99"/>
    <w:rsid w:val="00D20AE1"/>
    <w:rPr>
      <w:rFonts w:ascii="Calibri" w:eastAsia="Times New Roman" w:hAnsi="Calibri" w:cs="Times New Roman"/>
    </w:rPr>
  </w:style>
  <w:style w:type="character" w:styleId="a5">
    <w:name w:val="page number"/>
    <w:rsid w:val="00D20AE1"/>
  </w:style>
  <w:style w:type="paragraph" w:styleId="a6">
    <w:name w:val="Balloon Text"/>
    <w:basedOn w:val="a"/>
    <w:link w:val="a7"/>
    <w:uiPriority w:val="99"/>
    <w:semiHidden/>
    <w:unhideWhenUsed/>
    <w:rsid w:val="005832E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7">
    <w:name w:val="Текст выноски Знак"/>
    <w:link w:val="a6"/>
    <w:uiPriority w:val="99"/>
    <w:semiHidden/>
    <w:rsid w:val="005832E0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8">
    <w:name w:val="Основной текст_"/>
    <w:link w:val="1"/>
    <w:locked/>
    <w:rsid w:val="00D3062A"/>
    <w:rPr>
      <w:shd w:val="clear" w:color="auto" w:fill="FFFFFF"/>
    </w:rPr>
  </w:style>
  <w:style w:type="paragraph" w:customStyle="1" w:styleId="1">
    <w:name w:val="Основной текст1"/>
    <w:basedOn w:val="a"/>
    <w:link w:val="a8"/>
    <w:rsid w:val="00D3062A"/>
    <w:pPr>
      <w:widowControl w:val="0"/>
      <w:shd w:val="clear" w:color="auto" w:fill="FFFFFF"/>
      <w:spacing w:after="0" w:line="240" w:lineRule="auto"/>
      <w:ind w:firstLine="400"/>
      <w:jc w:val="both"/>
    </w:pPr>
    <w:rPr>
      <w:rFonts w:eastAsia="Calibri"/>
      <w:sz w:val="20"/>
      <w:szCs w:val="20"/>
      <w:lang w:val="x-none" w:eastAsia="x-none"/>
    </w:rPr>
  </w:style>
  <w:style w:type="paragraph" w:styleId="a9">
    <w:name w:val="No Spacing"/>
    <w:uiPriority w:val="1"/>
    <w:qFormat/>
    <w:rsid w:val="00BE1501"/>
    <w:rPr>
      <w:sz w:val="22"/>
      <w:szCs w:val="22"/>
      <w:lang w:val="ru-RU" w:eastAsia="en-US"/>
    </w:rPr>
  </w:style>
  <w:style w:type="paragraph" w:styleId="aa">
    <w:name w:val="header"/>
    <w:basedOn w:val="a"/>
    <w:link w:val="ab"/>
    <w:uiPriority w:val="99"/>
    <w:unhideWhenUsed/>
    <w:rsid w:val="00EC454C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uiPriority w:val="99"/>
    <w:rsid w:val="00EC454C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8E8E7F8AF0249673131F5039A217B53F9CE8E38A38484ED6515B65E24193759CAAC0B20E3y3j6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CB4DDCC8F4430788A09F5DE27FC1693239064F38F0618FC9338F3BC3B5C9839659BBF0B128q4u1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CB4DDCC8F4430788A09F5DE27FC1693239064F38F0618FC9338F3BC3B5C9839659BBF0B124q4uCH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CB4DDCC8F4430788A09F5DE27FC1693239064F38F0618FC9338F3BC3B5C9839659BBF0B123q4uD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D6AFD-B5FC-4EBF-8E17-6DFECCB4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2771</Words>
  <Characters>15795</Characters>
  <Application>Microsoft Office Word</Application>
  <DocSecurity>0</DocSecurity>
  <Lines>131</Lines>
  <Paragraphs>37</Paragraphs>
  <ScaleCrop>false</ScaleCrop>
  <Company/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