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77B9" w14:textId="77777777" w:rsidR="003E219A" w:rsidRPr="00454841" w:rsidRDefault="008760AF" w:rsidP="00A01D3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>Судья первой инстанц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 xml:space="preserve">ии: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Ильинская Т.А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FDCE3B2" w14:textId="77777777" w:rsidR="006B1359" w:rsidRPr="00454841" w:rsidRDefault="008760AF" w:rsidP="00891A8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>Судья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 xml:space="preserve"> второй инстанции: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Вишнякова Н.Е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>. -  председательствующий</w:t>
      </w:r>
    </w:p>
    <w:p w14:paraId="58182EA8" w14:textId="77777777" w:rsidR="00715800" w:rsidRPr="00454841" w:rsidRDefault="008760AF" w:rsidP="00B219D3">
      <w:pPr>
        <w:tabs>
          <w:tab w:val="left" w:pos="285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5484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Pr="0045484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Зельхарняева А.И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>. -  докладчик</w:t>
      </w:r>
    </w:p>
    <w:p w14:paraId="32C2BAC6" w14:textId="77777777" w:rsidR="00715800" w:rsidRDefault="008760AF" w:rsidP="00715800">
      <w:pPr>
        <w:tabs>
          <w:tab w:val="left" w:pos="288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Казаков М.Ю</w:t>
      </w:r>
      <w:r w:rsidRPr="0045484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3840C4D" w14:textId="77777777" w:rsidR="00B219D3" w:rsidRPr="00715800" w:rsidRDefault="008760AF" w:rsidP="00715800">
      <w:pPr>
        <w:tabs>
          <w:tab w:val="left" w:pos="288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D8E607" w14:textId="77777777" w:rsidR="00985CD1" w:rsidRDefault="008760AF" w:rsidP="00A01D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FD5E5B" w14:textId="77777777" w:rsidR="00F17690" w:rsidRPr="00542ACE" w:rsidRDefault="008760AF" w:rsidP="00F17690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25198B4C" w14:textId="77777777" w:rsidR="00A01D3F" w:rsidRPr="00542ACE" w:rsidRDefault="008760AF" w:rsidP="00A01D3F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 О С Т А Н О В Л Е Н И Е</w:t>
      </w:r>
    </w:p>
    <w:p w14:paraId="6001ABF6" w14:textId="77777777" w:rsidR="00A01D3F" w:rsidRPr="00542ACE" w:rsidRDefault="008760AF" w:rsidP="00A01D3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Президиу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ма Московского городского суда</w:t>
      </w:r>
    </w:p>
    <w:p w14:paraId="3B2EF5E7" w14:textId="77777777" w:rsidR="00A01D3F" w:rsidRPr="00542ACE" w:rsidRDefault="008760AF" w:rsidP="00A01D3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по делу № 44г-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126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9</w:t>
      </w:r>
    </w:p>
    <w:p w14:paraId="139C6A39" w14:textId="77777777" w:rsidR="00A01D3F" w:rsidRPr="00542ACE" w:rsidRDefault="008760AF" w:rsidP="00A01D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A3D53C" w14:textId="77777777" w:rsidR="00985CD1" w:rsidRDefault="008760AF" w:rsidP="00A01D3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2385869" w14:textId="77777777" w:rsidR="00A01D3F" w:rsidRPr="00542ACE" w:rsidRDefault="008760AF" w:rsidP="00A01D3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23 апреля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201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9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года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        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город Москва</w:t>
      </w:r>
    </w:p>
    <w:p w14:paraId="16A46021" w14:textId="77777777" w:rsidR="00A01D3F" w:rsidRPr="00542ACE" w:rsidRDefault="008760AF" w:rsidP="00A01D3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B089D5E" w14:textId="77777777" w:rsidR="00144F2F" w:rsidRPr="00144F2F" w:rsidRDefault="008760AF" w:rsidP="00144F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4F2F">
        <w:rPr>
          <w:rFonts w:ascii="Times New Roman" w:eastAsia="Times New Roman" w:hAnsi="Times New Roman"/>
          <w:sz w:val="28"/>
          <w:szCs w:val="28"/>
          <w:lang w:eastAsia="ru-RU"/>
        </w:rPr>
        <w:t>Президиум Московского городского суда в составе:</w:t>
      </w:r>
    </w:p>
    <w:p w14:paraId="5489EEA5" w14:textId="77777777" w:rsidR="00144F2F" w:rsidRPr="005F0E6B" w:rsidRDefault="008760AF" w:rsidP="00144F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4F2F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Председателя Президиума </w:t>
      </w:r>
      <w:r w:rsidRPr="005F0E6B">
        <w:rPr>
          <w:rFonts w:ascii="Times New Roman" w:eastAsia="Times New Roman" w:hAnsi="Times New Roman"/>
          <w:sz w:val="28"/>
          <w:szCs w:val="28"/>
          <w:lang w:eastAsia="ru-RU"/>
        </w:rPr>
        <w:t>Егоровой О.А.</w:t>
      </w:r>
    </w:p>
    <w:p w14:paraId="4A95256E" w14:textId="77777777" w:rsidR="00144F2F" w:rsidRPr="00144F2F" w:rsidRDefault="008760AF" w:rsidP="00144F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0E6B">
        <w:rPr>
          <w:rFonts w:ascii="Times New Roman" w:eastAsia="Times New Roman" w:hAnsi="Times New Roman"/>
          <w:sz w:val="28"/>
          <w:szCs w:val="28"/>
          <w:lang w:eastAsia="ru-RU"/>
        </w:rPr>
        <w:t>и членов Президиума: Афанасьевой Н.П., Базьковой Е.М., Васильевой Н</w:t>
      </w:r>
      <w:r w:rsidRPr="005F0E6B">
        <w:rPr>
          <w:rFonts w:ascii="Times New Roman" w:eastAsia="Times New Roman" w:hAnsi="Times New Roman"/>
          <w:sz w:val="28"/>
          <w:szCs w:val="28"/>
          <w:lang w:eastAsia="ru-RU"/>
        </w:rPr>
        <w:t>.А., Ишмуратовой Л.Ю., Курциньш С</w:t>
      </w:r>
      <w:r w:rsidRPr="005F0E6B">
        <w:rPr>
          <w:rFonts w:ascii="Times New Roman" w:eastAsia="Times New Roman" w:hAnsi="Times New Roman"/>
          <w:sz w:val="28"/>
          <w:szCs w:val="28"/>
          <w:lang w:eastAsia="ru-RU"/>
        </w:rPr>
        <w:t>.Э., Панарина М.М., Фомина Д.А.</w:t>
      </w:r>
      <w:r w:rsidRPr="005F0E6B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14:paraId="56C9BF9B" w14:textId="77777777" w:rsidR="00144F2F" w:rsidRDefault="008760AF" w:rsidP="00144F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4F2F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секретаре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Батеевой Е.Н.,</w:t>
      </w:r>
    </w:p>
    <w:p w14:paraId="14C88490" w14:textId="77777777" w:rsidR="00C63ADD" w:rsidRPr="00C63ADD" w:rsidRDefault="008760AF" w:rsidP="00C63AD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B23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рассмотрев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открытом судебном </w:t>
      </w:r>
      <w:r w:rsidRPr="009B2B23">
        <w:rPr>
          <w:rFonts w:ascii="Times New Roman" w:eastAsia="Times New Roman" w:hAnsi="Times New Roman"/>
          <w:sz w:val="28"/>
          <w:szCs w:val="28"/>
          <w:lang w:eastAsia="ru-RU"/>
        </w:rPr>
        <w:t>заседании по докладу судьи Тихенко Г.А. истребованное по кассационной жалобе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63ADD">
        <w:rPr>
          <w:rFonts w:ascii="Times New Roman" w:eastAsia="Times New Roman" w:hAnsi="Times New Roman"/>
          <w:sz w:val="28"/>
          <w:szCs w:val="28"/>
          <w:lang w:eastAsia="ru-RU"/>
        </w:rPr>
        <w:t>представителя ПАО «Сбербанк»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доверенности Брянцева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С.Г.</w:t>
      </w:r>
      <w:r>
        <w:t xml:space="preserve"> </w:t>
      </w:r>
      <w:r w:rsidRPr="00C63ADD">
        <w:rPr>
          <w:rFonts w:ascii="Times New Roman" w:hAnsi="Times New Roman"/>
          <w:sz w:val="28"/>
          <w:szCs w:val="28"/>
        </w:rPr>
        <w:t xml:space="preserve">гражданское дело </w:t>
      </w:r>
      <w:r w:rsidRPr="00C63ADD">
        <w:rPr>
          <w:rFonts w:ascii="Times New Roman" w:eastAsia="Times New Roman" w:hAnsi="Times New Roman"/>
          <w:sz w:val="28"/>
          <w:szCs w:val="28"/>
          <w:lang w:eastAsia="ru-RU"/>
        </w:rPr>
        <w:t xml:space="preserve">по иску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Кокиной Ю.Е. к ПАО</w:t>
      </w:r>
      <w:r w:rsidRPr="00C63ADD">
        <w:rPr>
          <w:rFonts w:ascii="Times New Roman" w:eastAsia="Times New Roman" w:hAnsi="Times New Roman"/>
          <w:sz w:val="28"/>
          <w:szCs w:val="28"/>
          <w:lang w:eastAsia="ru-RU"/>
        </w:rPr>
        <w:t xml:space="preserve"> «Сбербанк России» о признании незаконными действий банка, обязании возобновить действие карты,</w:t>
      </w:r>
    </w:p>
    <w:p w14:paraId="6B924753" w14:textId="77777777" w:rsidR="00D3421A" w:rsidRDefault="008760AF" w:rsidP="005E645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C73223" w14:textId="77777777" w:rsidR="00D56117" w:rsidRPr="00542ACE" w:rsidRDefault="008760AF" w:rsidP="00985CD1">
      <w:pPr>
        <w:tabs>
          <w:tab w:val="left" w:pos="540"/>
        </w:tabs>
        <w:spacing w:after="0" w:line="240" w:lineRule="auto"/>
        <w:ind w:right="45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14:paraId="25DB53A4" w14:textId="77777777" w:rsidR="00A01D3F" w:rsidRPr="00542ACE" w:rsidRDefault="008760AF" w:rsidP="00A01D3F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A2475C5" w14:textId="77777777" w:rsidR="008C4DA3" w:rsidRPr="008C4DA3" w:rsidRDefault="008760AF" w:rsidP="009D6FA5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Кокина Ю.Е. обратилась в суд с иском к ПАО «Сбербанк России», мотивируя свои требования тем, что 1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0 мая 2012 года между ПАО «Сбербанк России» и истцом Кокиной Ю.Е. заключен договор банковского обслуживания, предметом которого являлась выдача банком клиенту банковской карты №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и открытие счета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br/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в рублях. 14 июля 2017 года доступ к системе Сберб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анк Онлайн был заблокирован, истцу поступило сообщение о необходимости представить пояснения и документы, раскрывающие источник происхождения денежных средств и экономическ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ий смысл операций по счету №***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за период с 13 мая 2017 г по 14 июля 2017 года. Пись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мом от 25 июля 2017 года истец ответила на запрос банка, представив соответствующие документы и сведения, однако ответчик не возобновил действие карты и доступ к системе Сбербанк Онлайн. Действия банка не предусмотрены положениями ФЗ от 07 августа 2001 г.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№ 115-ФЗ «О противодействии легализации (отмыванию) доходов, полученных преступным путем, и финансированию терроризма», являются незаконными. Также является незаконным отказ банка в выдаче денежных средств, перечисленных истцу в качестве социальных выплат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многодетной семье, в связи с чем истец просила суд признать незаконными действия ПАО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lastRenderedPageBreak/>
        <w:t xml:space="preserve">«Сбербанк России» по приостановлению действия банковской карты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br/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и доступа к системе Сбербанк Онлайн, по блокировке банковской карты №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, по отказу в совершении опе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раций по выдаче наличных денежных средств в размере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рублей со счета карты №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, обязать истца совершить операцию по выдаче наличных денежных средств в размере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рублей со счета карты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. </w:t>
      </w:r>
    </w:p>
    <w:p w14:paraId="13C6F371" w14:textId="77777777" w:rsidR="008C4DA3" w:rsidRPr="008C4DA3" w:rsidRDefault="008760AF" w:rsidP="008C4DA3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Решением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Чертановского районного суда г.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Москвы от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14 мая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2018 г., оставленным без изменения апелляционным определением судебной коллегии по гражданским делам Московского городского суда от 12 октября 2018 г., постановлено:</w:t>
      </w:r>
    </w:p>
    <w:p w14:paraId="5275E69B" w14:textId="77777777" w:rsidR="008C4DA3" w:rsidRPr="008C4DA3" w:rsidRDefault="008760AF" w:rsidP="008C4DA3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«Взыскать с ответчика ПАО «Сбербанк России» в пользу Кокиной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Ю.Е.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енежные средства в разм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ере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.                          </w:t>
      </w:r>
    </w:p>
    <w:p w14:paraId="101C96C3" w14:textId="77777777" w:rsidR="008C4DA3" w:rsidRPr="008C4DA3" w:rsidRDefault="008760AF" w:rsidP="008C4DA3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В остальной части исковых требований истца отказать.</w:t>
      </w:r>
    </w:p>
    <w:p w14:paraId="33D07123" w14:textId="77777777" w:rsidR="008C4DA3" w:rsidRPr="008C4DA3" w:rsidRDefault="008760AF" w:rsidP="008C4DA3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Взыскать с ПАО «Сбербанк России» госпошлину в доход бюджета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br/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г. Москвы в размере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рублей».</w:t>
      </w:r>
    </w:p>
    <w:p w14:paraId="5E910B54" w14:textId="77777777" w:rsidR="009D6FA5" w:rsidRDefault="008760AF" w:rsidP="009D6FA5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>
        <w:rPr>
          <w:rFonts w:ascii="Times New Roman" w:eastAsia="Times New Roman" w:hAnsi="Times New Roman" w:cs="Calibri"/>
          <w:sz w:val="28"/>
          <w:szCs w:val="28"/>
          <w:lang w:eastAsia="ru-RU"/>
        </w:rPr>
        <w:t>Не согласившись с указанными судебными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постановлениями, представитель П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АО «Сбербанк» по доверенности Брянцев С.Г., подал  настоящую касс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ационную жалобу, в которой стави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т вопрос об их отмене,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в части взыскания с 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ПАО «Сбербанк»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***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, дело направить на новое рассмотрение</w:t>
      </w:r>
      <w:r w:rsidRPr="008C4DA3">
        <w:rPr>
          <w:rFonts w:ascii="Times New Roman" w:eastAsia="Times New Roman" w:hAnsi="Times New Roman" w:cs="Calibri"/>
          <w:sz w:val="28"/>
          <w:szCs w:val="28"/>
          <w:lang w:eastAsia="ru-RU"/>
        </w:rPr>
        <w:t>.</w:t>
      </w:r>
    </w:p>
    <w:p w14:paraId="7D6C7785" w14:textId="77777777" w:rsidR="009D6FA5" w:rsidRDefault="008760AF" w:rsidP="009D6FA5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0C2476">
        <w:rPr>
          <w:rFonts w:ascii="Times New Roman" w:eastAsia="Times New Roman" w:hAnsi="Times New Roman" w:cs="Calibri"/>
          <w:sz w:val="28"/>
          <w:szCs w:val="28"/>
          <w:lang w:eastAsia="ru-RU"/>
        </w:rPr>
        <w:t>По запросу судьи Моско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вского городского суда от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0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8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феврал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я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201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9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г. гражданское дело истребовано для проверки в Московский городской суд, куда оно поступило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2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8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февраля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2019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 w:rsidRPr="00413E26">
        <w:rPr>
          <w:rFonts w:ascii="Times New Roman" w:eastAsia="Times New Roman" w:hAnsi="Times New Roman" w:cs="Calibri"/>
          <w:sz w:val="28"/>
          <w:szCs w:val="28"/>
          <w:lang w:eastAsia="ru-RU"/>
        </w:rPr>
        <w:t>г.</w:t>
      </w:r>
    </w:p>
    <w:p w14:paraId="453219A2" w14:textId="77777777" w:rsidR="009D6FA5" w:rsidRDefault="008760AF" w:rsidP="009D6FA5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40496B"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Определением судьи Московского городского суда от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05 апреля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2019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г. кассационная жалоба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</w:t>
      </w:r>
      <w:r w:rsidRPr="009D6FA5">
        <w:rPr>
          <w:rFonts w:ascii="Times New Roman" w:eastAsia="Times New Roman" w:hAnsi="Times New Roman" w:cs="Calibri"/>
          <w:sz w:val="28"/>
          <w:szCs w:val="28"/>
          <w:lang w:eastAsia="ru-RU"/>
        </w:rPr>
        <w:t>представителя ПАО «Сбербанк»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 по доверенности Брянце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ва С.Г. 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с </w:t>
      </w:r>
      <w:r w:rsidRPr="0040496B">
        <w:rPr>
          <w:rFonts w:ascii="Times New Roman" w:eastAsia="Times New Roman" w:hAnsi="Times New Roman" w:cs="Calibri"/>
          <w:sz w:val="28"/>
          <w:szCs w:val="28"/>
          <w:lang w:eastAsia="ru-RU"/>
        </w:rPr>
        <w:t>гражданск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 xml:space="preserve">им делом </w:t>
      </w:r>
      <w:r w:rsidRPr="0040496B">
        <w:rPr>
          <w:rFonts w:ascii="Times New Roman" w:eastAsia="Times New Roman" w:hAnsi="Times New Roman" w:cs="Calibri"/>
          <w:sz w:val="28"/>
          <w:szCs w:val="28"/>
          <w:lang w:eastAsia="ru-RU"/>
        </w:rPr>
        <w:t>переданы для рассмотрения в судебном заседании Президиума Московского городского суда</w:t>
      </w:r>
      <w:r>
        <w:rPr>
          <w:rFonts w:ascii="Times New Roman" w:eastAsia="Times New Roman" w:hAnsi="Times New Roman" w:cs="Calibri"/>
          <w:sz w:val="28"/>
          <w:szCs w:val="28"/>
          <w:lang w:eastAsia="ru-RU"/>
        </w:rPr>
        <w:t>, исполнение решения приостановлено до окончания производства в суде кассационной инстанции.</w:t>
      </w:r>
    </w:p>
    <w:p w14:paraId="2E0E407B" w14:textId="77777777" w:rsidR="00016587" w:rsidRDefault="008760AF" w:rsidP="00016587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4542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Проверив материалы дела,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обсудив</w:t>
      </w:r>
      <w:r w:rsidRPr="006F4542">
        <w:rPr>
          <w:rFonts w:ascii="Times New Roman" w:eastAsia="Times New Roman" w:hAnsi="Times New Roman"/>
          <w:sz w:val="28"/>
          <w:szCs w:val="28"/>
          <w:lang w:eastAsia="ru-RU"/>
        </w:rPr>
        <w:t xml:space="preserve"> доводы кассационн</w:t>
      </w:r>
      <w:r w:rsidRPr="006F4542">
        <w:rPr>
          <w:rFonts w:ascii="Times New Roman" w:eastAsia="Times New Roman" w:hAnsi="Times New Roman"/>
          <w:sz w:val="28"/>
          <w:szCs w:val="28"/>
          <w:lang w:eastAsia="ru-RU"/>
        </w:rPr>
        <w:t xml:space="preserve">ой жалобы, </w:t>
      </w:r>
      <w:r w:rsidRPr="00724A5D">
        <w:rPr>
          <w:rFonts w:ascii="Times New Roman" w:eastAsia="Times New Roman" w:hAnsi="Times New Roman"/>
          <w:sz w:val="28"/>
          <w:szCs w:val="28"/>
          <w:lang w:eastAsia="ru-RU"/>
        </w:rPr>
        <w:t xml:space="preserve">выслушав </w:t>
      </w:r>
      <w:r w:rsidRPr="00724A5D">
        <w:rPr>
          <w:rFonts w:ascii="Times New Roman" w:eastAsia="Times New Roman" w:hAnsi="Times New Roman"/>
          <w:sz w:val="28"/>
          <w:szCs w:val="28"/>
          <w:lang w:eastAsia="ru-RU"/>
        </w:rPr>
        <w:t xml:space="preserve">объяснения </w:t>
      </w:r>
      <w:r w:rsidRPr="00724A5D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представителя </w:t>
      </w:r>
      <w:r w:rsidRPr="009D6FA5">
        <w:rPr>
          <w:rFonts w:ascii="Times New Roman" w:eastAsia="Times New Roman" w:hAnsi="Times New Roman" w:cs="Calibri"/>
          <w:sz w:val="28"/>
          <w:szCs w:val="28"/>
          <w:lang w:eastAsia="ru-RU"/>
        </w:rPr>
        <w:t>ПАО «Сбербанк»</w:t>
      </w:r>
      <w:r w:rsidRPr="00724A5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доверенности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Брянцева С.Г., представителя истца Кокиной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Ю.Е. по доверенности Госпаревич А.А.</w:t>
      </w:r>
      <w:r w:rsidRPr="00724A5D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724A5D">
        <w:rPr>
          <w:rFonts w:ascii="Times New Roman" w:eastAsia="Times New Roman" w:hAnsi="Times New Roman"/>
          <w:sz w:val="28"/>
          <w:szCs w:val="28"/>
          <w:lang w:eastAsia="ru-RU"/>
        </w:rPr>
        <w:t xml:space="preserve">Президиум Московского городского суда находит оспариваемые судебные постановления подлежащими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отмен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 и пре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кращении производства по делу.</w:t>
      </w:r>
    </w:p>
    <w:p w14:paraId="73CC8659" w14:textId="77777777" w:rsidR="00C55F33" w:rsidRDefault="008760AF" w:rsidP="00A647B1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Согласно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ст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атье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387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ГПК РФ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084AF21B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4FA8">
        <w:rPr>
          <w:rFonts w:ascii="Times New Roman" w:eastAsia="Times New Roman" w:hAnsi="Times New Roman"/>
          <w:sz w:val="28"/>
          <w:szCs w:val="28"/>
          <w:lang w:eastAsia="ru-RU"/>
        </w:rPr>
        <w:t>Судом первой инстанции установлено, что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17 мая 2012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г. между сторонами был заключен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 банковского обслуживания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E36AD55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В рамках данного договора между ПАО «Сбербанк России» 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Кокиной Ю.Е. заключен договор на выпуск и обслуживание банковской карты VISA Class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ic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(после после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днего перевыпуска), счет карты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2A46035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 ходе анализа опер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аций клиента Кокиной Ю.Е. за период с 03 апреля 2017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г. по 26 июня 2017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г. ответчиком выявлено зачисление денежных средств от организации ООО «ТВМ-Трейд» в общей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с назначением платежа: «перечислено под отчет Кокиной Ю.Е. на приобретение офис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ного оборудования» и «перечислено под отчет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Кокиной Ю.Е. на командировочные расходы».</w:t>
      </w:r>
    </w:p>
    <w:p w14:paraId="070BB24A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Указанные операции были квалифицированы Банком как подозрительные, в связи с чем Банк на основании п. 9 ст. 9 Федерального закона от 27 июня 2011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№ 161-ФЗ "О национал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ьной платежной системе" и п. 3.27 Приложения № 1 к ДБО и п. 5.9.1 Правил внутреннего контроля, приостановил действие карты, системы Сбербанк Онлайн, принял меры к запросу у клиента разъясняющей информации об источниках поступления/происхождения денежных ср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едств по указанным операциям, а также документов (их копий), подтверждающих источник(и) поступления/происхождения указанных выше денежных средств и документов, подтверждающие экономический смысл проводимых операций.</w:t>
      </w:r>
    </w:p>
    <w:p w14:paraId="66C37CF9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В ответ на запрос Банка истцом  был пред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ставлен приходный кассовый ордер о возврате командировочных расходов в организацию на сумму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рублей.</w:t>
      </w:r>
    </w:p>
    <w:p w14:paraId="749E5038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Поскольку запрошенные банком документы истцом представлены не были, ответчик отказал в возобновлении действия карты и доступа к системе Сбербанк Онлайн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8786688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При рассмотрении дела истцом были представ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лены договор оказания услуг от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31 марта 2017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г., заключенный между ООО «ТВМ-Трейд» и Кокиной Ю.Е., соглашение о расторжении договора, квитанции к приходным кассовым ордерам о возврате денежных средств.</w:t>
      </w:r>
    </w:p>
    <w:p w14:paraId="3E0268B7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Разрешая с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пор и отказывая в удовлетворении исковых требований Кокиной Ю.Е. суд исходил из того, что ответчик действовал в рамках ФЗ «О противодействии легализации (отмыванию) доходов, полученных преступным путем, и финансированию терроризма», поскольку имелись основ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ания для отнесения операций, совершенных ис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тцом, к сомнительным, так как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сведения о трудовых отношениях с организацией, перечислившей денежные средства на счет истца, отсутствуют, а доказательства поступления на расчетный счет организации возвращенных дене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жных средств не представлены. В связи с указанным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действия ответчика по приостановлению действия карты и доступа к системе Сбербанк Онлайн, совершенные в порядке принятия внутренних организационные мер, предусмотренн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ых п. 2 ст. 7 Федерального закона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N 115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-ФЗ, суд признал правомерными.</w:t>
      </w:r>
    </w:p>
    <w:p w14:paraId="7D781150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Вместе с тем, разрешая требования истца об обязании ответчика выдать денежные средства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рублей, суд пришел к выводу об удовлетворении данных требований и взыскал с ответчика в пользу истца указанную сумму, при э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том суд исходил из того, что истцом в адрес ответчика ПАО «Сбербанк России» было направлено заявление о выдаче суммы социальной выплаты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рублей, однако ответчик ответ на данное обращение истцу не направил, денежные средства истцу не выдал, о с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пособах их получения  не сообщил.</w:t>
      </w:r>
    </w:p>
    <w:p w14:paraId="023D2C4B" w14:textId="77777777" w:rsidR="00D2693B" w:rsidRP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Судебная коллегия с такими выводами суда первой инстанции согласилась.</w:t>
      </w:r>
    </w:p>
    <w:p w14:paraId="7FD8E108" w14:textId="77777777" w:rsidR="00D2693B" w:rsidRDefault="008760AF" w:rsidP="00D2693B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Решение суда в части отказа в удовлетворении требований о  признании незаконными действия ПАО «Сбербанк России» по приостановлению действия банковской 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карты и доступа к системе Сбербанк Онлайн, по блокировке банковской карты, сторонами не обжалуется.</w:t>
      </w:r>
    </w:p>
    <w:p w14:paraId="3E3DDB0E" w14:textId="77777777" w:rsidR="00016587" w:rsidRPr="00177C8D" w:rsidRDefault="008760AF" w:rsidP="00016587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Не согласившись с обжалуемыми постановлениями судов первой и апелляционной инстанции в части взыскания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ПАО «Сбербанк России» в пользу Кокиной Ю.Е. 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енежны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х средств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>, заявитель кассационной жалобы указывает, что суд допустил нарушение норм процессуального права, вышел за пределы заявленных исковых требований, так как истцом заявлялось требование об обязании ответчика выдать со счета б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анковской 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арты сумму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 рублей, однако суд принял решение о взыскании данной суммы с ПАО «Сбербанк России»,  что нарушает права и законные интересы банка, поскольку будучи исполненным решение суда приведет к необоснованному списанию в пользу истца денежны</w:t>
      </w:r>
      <w:r w:rsidRPr="00D2693B">
        <w:rPr>
          <w:rFonts w:ascii="Times New Roman" w:eastAsia="Times New Roman" w:hAnsi="Times New Roman"/>
          <w:sz w:val="28"/>
          <w:szCs w:val="28"/>
          <w:lang w:eastAsia="ru-RU"/>
        </w:rPr>
        <w:t xml:space="preserve">х </w:t>
      </w:r>
      <w:r w:rsidRPr="00177C8D">
        <w:rPr>
          <w:rFonts w:ascii="Times New Roman" w:eastAsia="Times New Roman" w:hAnsi="Times New Roman"/>
          <w:sz w:val="28"/>
          <w:szCs w:val="28"/>
          <w:lang w:eastAsia="ru-RU"/>
        </w:rPr>
        <w:t>средств банка, при этом денежные средства в размере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***</w:t>
      </w:r>
      <w:r w:rsidRPr="00177C8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рублей останутся на счете банковской карты истца.</w:t>
      </w:r>
    </w:p>
    <w:p w14:paraId="66098F43" w14:textId="77777777" w:rsidR="009007C5" w:rsidRPr="00177C8D" w:rsidRDefault="008760AF" w:rsidP="003B266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>В судебном заседании Президиума от представителя истца Кокиной Ю.Е. по доверенности Госпаревич А.А. поступило письменное заявление об отказе от иско</w:t>
      </w:r>
      <w:r w:rsidRPr="00177C8D">
        <w:rPr>
          <w:rFonts w:ascii="Times New Roman" w:hAnsi="Times New Roman"/>
          <w:sz w:val="28"/>
          <w:szCs w:val="28"/>
          <w:lang w:eastAsia="ru-RU"/>
        </w:rPr>
        <w:t>вых требований и п</w:t>
      </w:r>
      <w:r>
        <w:rPr>
          <w:rFonts w:ascii="Times New Roman" w:hAnsi="Times New Roman"/>
          <w:sz w:val="28"/>
          <w:szCs w:val="28"/>
          <w:lang w:eastAsia="ru-RU"/>
        </w:rPr>
        <w:t>рекращении производства по делу, также представлен расходный кассовый ордер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 № 152-10 от 19 апреля 2019 г. о получении Кокиной Ю.Е. денежных средств в размере </w:t>
      </w:r>
      <w:r>
        <w:rPr>
          <w:rFonts w:ascii="Times New Roman" w:hAnsi="Times New Roman"/>
          <w:sz w:val="28"/>
          <w:szCs w:val="28"/>
          <w:lang w:eastAsia="ru-RU"/>
        </w:rPr>
        <w:t>***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 руб.</w:t>
      </w:r>
    </w:p>
    <w:p w14:paraId="17C9DBC1" w14:textId="77777777" w:rsidR="009007C5" w:rsidRPr="00177C8D" w:rsidRDefault="008760AF" w:rsidP="009007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 xml:space="preserve">Согласно </w:t>
      </w:r>
      <w:hyperlink r:id="rId8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абз. 4 ст. 220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, </w:t>
      </w:r>
      <w:hyperlink r:id="rId9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ч. 2 ст. 326.1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 суд отменяет принятое решение и прекращает производство по делу в случае, если истец отказался от иска и отказ принят судом.</w:t>
      </w:r>
    </w:p>
    <w:p w14:paraId="3600297F" w14:textId="77777777" w:rsidR="009007C5" w:rsidRPr="00177C8D" w:rsidRDefault="008760AF" w:rsidP="009007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>Гражданское процессуальное законодательство, определяя права и обязанности лиц, участвующих в д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еле, в </w:t>
      </w:r>
      <w:hyperlink r:id="rId10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ст. ст. 39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, </w:t>
      </w:r>
      <w:hyperlink r:id="rId11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173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 устанавливает право истца отказаться от заявленных требований.</w:t>
      </w:r>
    </w:p>
    <w:p w14:paraId="3F44B152" w14:textId="77777777" w:rsidR="009007C5" w:rsidRPr="00177C8D" w:rsidRDefault="008760AF" w:rsidP="009007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 xml:space="preserve">В силу </w:t>
      </w:r>
      <w:hyperlink r:id="rId12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ч. 2 ст. 39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 суд не принимает отказ истца от иска, признание иска ответчиком и не утверждает мировое соглашение сторон, если это противоречит закону или нарушает права и законные </w:t>
      </w:r>
      <w:r w:rsidRPr="00177C8D">
        <w:rPr>
          <w:rFonts w:ascii="Times New Roman" w:hAnsi="Times New Roman"/>
          <w:sz w:val="28"/>
          <w:szCs w:val="28"/>
          <w:lang w:eastAsia="ru-RU"/>
        </w:rPr>
        <w:t>интересы других лиц.</w:t>
      </w:r>
    </w:p>
    <w:p w14:paraId="49537BDE" w14:textId="77777777" w:rsidR="009007C5" w:rsidRPr="00177C8D" w:rsidRDefault="008760AF" w:rsidP="009007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 xml:space="preserve">Согласно положениям </w:t>
      </w:r>
      <w:hyperlink r:id="rId13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ст. 221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 повторное обращение в суд по спору межд</w:t>
      </w:r>
      <w:r w:rsidRPr="00177C8D">
        <w:rPr>
          <w:rFonts w:ascii="Times New Roman" w:hAnsi="Times New Roman"/>
          <w:sz w:val="28"/>
          <w:szCs w:val="28"/>
          <w:lang w:eastAsia="ru-RU"/>
        </w:rPr>
        <w:t>у теми же сторонами, о том же предмете и по т</w:t>
      </w:r>
      <w:r w:rsidRPr="00177C8D">
        <w:rPr>
          <w:rFonts w:ascii="Times New Roman" w:hAnsi="Times New Roman"/>
          <w:sz w:val="28"/>
          <w:szCs w:val="28"/>
          <w:lang w:eastAsia="ru-RU"/>
        </w:rPr>
        <w:t>ем же основаниям не допускается.</w:t>
      </w:r>
    </w:p>
    <w:p w14:paraId="22C3CEC3" w14:textId="77777777" w:rsidR="009007C5" w:rsidRPr="00177C8D" w:rsidRDefault="008760AF" w:rsidP="009007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>Принимая во внимание, что заявленный отказ от иска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77C8D">
        <w:rPr>
          <w:rFonts w:ascii="Times New Roman" w:hAnsi="Times New Roman"/>
          <w:sz w:val="28"/>
          <w:szCs w:val="28"/>
          <w:lang w:eastAsia="ru-RU"/>
        </w:rPr>
        <w:t>не противоречит закону, не нарушает права и законные интересы других лиц, в том числе и ответчика (</w:t>
      </w:r>
      <w:hyperlink r:id="rId14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ч. 2 ст. 39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РФ), последствия отказа от иска, предусмотренные </w:t>
      </w:r>
      <w:hyperlink r:id="rId15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ст. 221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РФ, представителю 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истца Кокиной Ю.Е. по доверенности Госпаревич А.А. 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разъяснены в судебном заседании суда кассационной инстанции, Президиум </w:t>
      </w:r>
      <w:r>
        <w:rPr>
          <w:rFonts w:ascii="Times New Roman" w:hAnsi="Times New Roman"/>
          <w:sz w:val="28"/>
          <w:szCs w:val="28"/>
          <w:lang w:eastAsia="ru-RU"/>
        </w:rPr>
        <w:t>М</w:t>
      </w:r>
      <w:r>
        <w:rPr>
          <w:rFonts w:ascii="Times New Roman" w:hAnsi="Times New Roman"/>
          <w:sz w:val="28"/>
          <w:szCs w:val="28"/>
          <w:lang w:eastAsia="ru-RU"/>
        </w:rPr>
        <w:t>осковского городского суда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считает возможным удовлетворить заявление </w:t>
      </w:r>
      <w:r w:rsidRPr="00177C8D">
        <w:rPr>
          <w:rFonts w:ascii="Times New Roman" w:hAnsi="Times New Roman"/>
          <w:sz w:val="28"/>
          <w:szCs w:val="28"/>
          <w:lang w:eastAsia="ru-RU"/>
        </w:rPr>
        <w:t>представителя истца и принять отказ от иска.</w:t>
      </w:r>
    </w:p>
    <w:p w14:paraId="4CDFE3E2" w14:textId="77777777" w:rsidR="009007C5" w:rsidRPr="00177C8D" w:rsidRDefault="008760AF" w:rsidP="009007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 xml:space="preserve">В соответствии с </w:t>
      </w:r>
      <w:hyperlink r:id="rId16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п. 3 ч. 1 ст. 390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 суд кассационной инстанции, рассмотрев кассационные жалобу, представление с делом, вправе отменить постановление суда первой и апелляционной инстанции полностью либо в части и оставить заявление без ра</w:t>
      </w:r>
      <w:r w:rsidRPr="00177C8D">
        <w:rPr>
          <w:rFonts w:ascii="Times New Roman" w:hAnsi="Times New Roman"/>
          <w:sz w:val="28"/>
          <w:szCs w:val="28"/>
          <w:lang w:eastAsia="ru-RU"/>
        </w:rPr>
        <w:t>ссмотрения либо прекратить производство по делу.</w:t>
      </w:r>
    </w:p>
    <w:p w14:paraId="44363529" w14:textId="77777777" w:rsidR="008527F5" w:rsidRPr="00177C8D" w:rsidRDefault="008760AF" w:rsidP="008527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>Таким образом, обжалуемые судебные постановления суда первой и апелляционной инстанции подлежат отмене с прекращением производства по делу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на основании </w:t>
      </w:r>
      <w:hyperlink r:id="rId17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абз. 3 ст. 220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 в</w:t>
      </w:r>
      <w:r w:rsidRPr="00177C8D">
        <w:rPr>
          <w:rFonts w:ascii="Times New Roman" w:hAnsi="Times New Roman"/>
          <w:sz w:val="28"/>
          <w:szCs w:val="28"/>
          <w:lang w:eastAsia="ru-RU"/>
        </w:rPr>
        <w:t xml:space="preserve"> связи с отказом истца от иска.</w:t>
      </w:r>
    </w:p>
    <w:p w14:paraId="6EA23A7C" w14:textId="77777777" w:rsidR="00016587" w:rsidRPr="00177C8D" w:rsidRDefault="008760AF" w:rsidP="008527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7C8D">
        <w:rPr>
          <w:rFonts w:ascii="Times New Roman" w:hAnsi="Times New Roman"/>
          <w:sz w:val="28"/>
          <w:szCs w:val="28"/>
          <w:lang w:eastAsia="ru-RU"/>
        </w:rPr>
        <w:t xml:space="preserve">На основании изложенного, руководствуясь </w:t>
      </w:r>
      <w:hyperlink r:id="rId18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ст. ст. 220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, </w:t>
      </w:r>
      <w:hyperlink r:id="rId19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221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, </w:t>
      </w:r>
      <w:hyperlink r:id="rId20" w:history="1">
        <w:r w:rsidRPr="00177C8D">
          <w:rPr>
            <w:rFonts w:ascii="Times New Roman" w:hAnsi="Times New Roman"/>
            <w:sz w:val="28"/>
            <w:szCs w:val="28"/>
            <w:lang w:eastAsia="ru-RU"/>
          </w:rPr>
          <w:t>390</w:t>
        </w:r>
      </w:hyperlink>
      <w:r w:rsidRPr="00177C8D">
        <w:rPr>
          <w:rFonts w:ascii="Times New Roman" w:hAnsi="Times New Roman"/>
          <w:sz w:val="28"/>
          <w:szCs w:val="28"/>
          <w:lang w:eastAsia="ru-RU"/>
        </w:rPr>
        <w:t xml:space="preserve"> ГПК РФ, Президиум,</w:t>
      </w:r>
    </w:p>
    <w:p w14:paraId="60AAAA05" w14:textId="77777777" w:rsidR="00016587" w:rsidRPr="00177C8D" w:rsidRDefault="008760AF" w:rsidP="00C028C7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496F24" w14:textId="77777777" w:rsidR="007E4C58" w:rsidRPr="00177C8D" w:rsidRDefault="008760AF" w:rsidP="007E4C58">
      <w:pPr>
        <w:tabs>
          <w:tab w:val="left" w:pos="540"/>
        </w:tabs>
        <w:spacing w:after="0" w:line="240" w:lineRule="auto"/>
        <w:ind w:left="5" w:right="45"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77C8D">
        <w:rPr>
          <w:rFonts w:ascii="Times New Roman" w:eastAsia="Times New Roman" w:hAnsi="Times New Roman"/>
          <w:b/>
          <w:sz w:val="28"/>
          <w:szCs w:val="28"/>
          <w:lang w:eastAsia="ru-RU"/>
        </w:rPr>
        <w:t>ПОСТАНОВИЛ</w:t>
      </w:r>
      <w:r w:rsidRPr="00177C8D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14:paraId="32396C14" w14:textId="77777777" w:rsidR="00A01D3F" w:rsidRPr="00190D3D" w:rsidRDefault="008760AF" w:rsidP="00A01D3F">
      <w:pPr>
        <w:tabs>
          <w:tab w:val="left" w:pos="540"/>
        </w:tabs>
        <w:spacing w:after="0" w:line="240" w:lineRule="auto"/>
        <w:ind w:left="710"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F4175A" w14:textId="77777777" w:rsidR="008527F5" w:rsidRPr="008527F5" w:rsidRDefault="008760AF" w:rsidP="008527F5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27F5">
        <w:rPr>
          <w:rFonts w:ascii="Times New Roman" w:eastAsia="Times New Roman" w:hAnsi="Times New Roman"/>
          <w:sz w:val="28"/>
          <w:szCs w:val="28"/>
          <w:lang w:eastAsia="ru-RU"/>
        </w:rPr>
        <w:t>решение Чертановского районного су</w:t>
      </w:r>
      <w:r w:rsidRPr="008527F5">
        <w:rPr>
          <w:rFonts w:ascii="Times New Roman" w:eastAsia="Times New Roman" w:hAnsi="Times New Roman"/>
          <w:sz w:val="28"/>
          <w:szCs w:val="28"/>
          <w:lang w:eastAsia="ru-RU"/>
        </w:rPr>
        <w:t>да г. Москвы от 14 мая 2018 г. и апелляционное определение судебной коллегии по гражданским делам Московского городс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кого суда от 12 октября 2018 г.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отменит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ь, </w:t>
      </w:r>
      <w:r w:rsidRPr="008527F5">
        <w:rPr>
          <w:rFonts w:ascii="Times New Roman" w:eastAsia="Times New Roman" w:hAnsi="Times New Roman"/>
          <w:sz w:val="28"/>
          <w:szCs w:val="28"/>
          <w:lang w:eastAsia="ru-RU"/>
        </w:rPr>
        <w:t>производство по делу прекратить.</w:t>
      </w:r>
    </w:p>
    <w:p w14:paraId="3230BA9A" w14:textId="77777777" w:rsidR="008527F5" w:rsidRDefault="008760AF" w:rsidP="008527F5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8527F5">
        <w:rPr>
          <w:rFonts w:ascii="Times New Roman" w:eastAsia="Times New Roman" w:hAnsi="Times New Roman"/>
          <w:sz w:val="28"/>
          <w:szCs w:val="28"/>
          <w:lang w:eastAsia="ru-RU"/>
        </w:rPr>
        <w:t xml:space="preserve">азъяснить, что повторное обращение в суд по спору между теми же </w:t>
      </w:r>
      <w:r w:rsidRPr="008527F5">
        <w:rPr>
          <w:rFonts w:ascii="Times New Roman" w:eastAsia="Times New Roman" w:hAnsi="Times New Roman"/>
          <w:sz w:val="28"/>
          <w:szCs w:val="28"/>
          <w:lang w:eastAsia="ru-RU"/>
        </w:rPr>
        <w:t>сторонами, о том же предмете и по тем же основаниям не допускается.</w:t>
      </w:r>
    </w:p>
    <w:p w14:paraId="127376CC" w14:textId="77777777" w:rsidR="000F06C5" w:rsidRDefault="008760AF" w:rsidP="000F06C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A12335" w14:textId="77777777" w:rsidR="005E4428" w:rsidRPr="00190D3D" w:rsidRDefault="008760AF" w:rsidP="000F06C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D0A3D0" w14:textId="77777777" w:rsidR="00967B08" w:rsidRPr="00190D3D" w:rsidRDefault="008760AF" w:rsidP="00967B08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90D3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Председатель Президиума </w:t>
      </w:r>
    </w:p>
    <w:p w14:paraId="21292A45" w14:textId="77777777" w:rsidR="00967B08" w:rsidRPr="00542ACE" w:rsidRDefault="008760AF" w:rsidP="00967B08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Московского городского суда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</w:t>
      </w:r>
      <w:r w:rsidRPr="009D16F4">
        <w:rPr>
          <w:rFonts w:ascii="Times New Roman" w:hAnsi="Times New Roman"/>
          <w:b/>
          <w:sz w:val="28"/>
          <w:szCs w:val="28"/>
        </w:rPr>
        <w:t>О.А. Егорова</w:t>
      </w:r>
    </w:p>
    <w:sectPr w:rsidR="00967B08" w:rsidRPr="00542ACE" w:rsidSect="00BE7353">
      <w:pgSz w:w="11906" w:h="16838"/>
      <w:pgMar w:top="568" w:right="108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B4501" w14:textId="77777777" w:rsidR="00055643" w:rsidRDefault="008760AF" w:rsidP="000E55EF">
      <w:pPr>
        <w:spacing w:after="0" w:line="240" w:lineRule="auto"/>
      </w:pPr>
      <w:r>
        <w:separator/>
      </w:r>
    </w:p>
  </w:endnote>
  <w:endnote w:type="continuationSeparator" w:id="0">
    <w:p w14:paraId="09A47378" w14:textId="77777777" w:rsidR="00055643" w:rsidRDefault="008760AF" w:rsidP="000E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76C63" w14:textId="77777777" w:rsidR="00055643" w:rsidRDefault="008760AF" w:rsidP="000E55EF">
      <w:pPr>
        <w:spacing w:after="0" w:line="240" w:lineRule="auto"/>
      </w:pPr>
      <w:r>
        <w:separator/>
      </w:r>
    </w:p>
  </w:footnote>
  <w:footnote w:type="continuationSeparator" w:id="0">
    <w:p w14:paraId="31ED108B" w14:textId="77777777" w:rsidR="00055643" w:rsidRDefault="008760AF" w:rsidP="000E5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77130"/>
    <w:multiLevelType w:val="hybridMultilevel"/>
    <w:tmpl w:val="880C9FF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90" w:hanging="360"/>
      </w:pPr>
    </w:lvl>
    <w:lvl w:ilvl="2" w:tentative="1">
      <w:start w:val="1"/>
      <w:numFmt w:val="lowerRoman"/>
      <w:lvlText w:val="%3."/>
      <w:lvlJc w:val="right"/>
      <w:pPr>
        <w:ind w:left="2510" w:hanging="180"/>
      </w:pPr>
    </w:lvl>
    <w:lvl w:ilvl="3" w:tentative="1">
      <w:start w:val="1"/>
      <w:numFmt w:val="decimal"/>
      <w:lvlText w:val="%4."/>
      <w:lvlJc w:val="left"/>
      <w:pPr>
        <w:ind w:left="3230" w:hanging="360"/>
      </w:pPr>
    </w:lvl>
    <w:lvl w:ilvl="4" w:tentative="1">
      <w:start w:val="1"/>
      <w:numFmt w:val="lowerLetter"/>
      <w:lvlText w:val="%5."/>
      <w:lvlJc w:val="left"/>
      <w:pPr>
        <w:ind w:left="3950" w:hanging="360"/>
      </w:pPr>
    </w:lvl>
    <w:lvl w:ilvl="5" w:tentative="1">
      <w:start w:val="1"/>
      <w:numFmt w:val="lowerRoman"/>
      <w:lvlText w:val="%6."/>
      <w:lvlJc w:val="right"/>
      <w:pPr>
        <w:ind w:left="4670" w:hanging="180"/>
      </w:pPr>
    </w:lvl>
    <w:lvl w:ilvl="6" w:tentative="1">
      <w:start w:val="1"/>
      <w:numFmt w:val="decimal"/>
      <w:lvlText w:val="%7."/>
      <w:lvlJc w:val="left"/>
      <w:pPr>
        <w:ind w:left="5390" w:hanging="360"/>
      </w:pPr>
    </w:lvl>
    <w:lvl w:ilvl="7" w:tentative="1">
      <w:start w:val="1"/>
      <w:numFmt w:val="lowerLetter"/>
      <w:lvlText w:val="%8."/>
      <w:lvlJc w:val="left"/>
      <w:pPr>
        <w:ind w:left="6110" w:hanging="360"/>
      </w:pPr>
    </w:lvl>
    <w:lvl w:ilvl="8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F33"/>
    <w:rsid w:val="0087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506476"/>
  <w15:chartTrackingRefBased/>
  <w15:docId w15:val="{A3B0E16C-1906-4A6C-9764-DCED21D3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275F2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uiPriority w:val="99"/>
    <w:unhideWhenUsed/>
    <w:rsid w:val="00AA3CFC"/>
    <w:rPr>
      <w:color w:val="0000FF"/>
      <w:u w:val="single"/>
    </w:rPr>
  </w:style>
  <w:style w:type="paragraph" w:customStyle="1" w:styleId="ConsPlusNormal">
    <w:name w:val="ConsPlusNormal"/>
    <w:rsid w:val="00B15DF2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0E55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0E55E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0E55E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0E55E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7519676AABBA899232D062C836488BF34E248D18C5C66B298ABAA850022D6A54D8E84AE39433987D19161B7638A164D767DADA4C46B0226kEJ7I" TargetMode="External"/><Relationship Id="rId13" Type="http://schemas.openxmlformats.org/officeDocument/2006/relationships/hyperlink" Target="consultantplus://offline/ref=27519676AABBA899232D062C836488BF34E248D18C5C66B298ABAA850022D6A54D8E84AE39433984D79161B7638A164D767DADA4C46B0226kEJ7I" TargetMode="External"/><Relationship Id="rId18" Type="http://schemas.openxmlformats.org/officeDocument/2006/relationships/hyperlink" Target="consultantplus://offline/ref=27519676AABBA899232D062C836488BF34E248D18C5C66B298ABAA850022D6A54D8E84AE39433987D59161B7638A164D767DADA4C46B0226kEJ7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27519676AABBA899232D062C836488BF34E248D18C5C66B298ABAA850022D6A54D8E84AE3942388FD29161B7638A164D767DADA4C46B0226kEJ7I" TargetMode="External"/><Relationship Id="rId17" Type="http://schemas.openxmlformats.org/officeDocument/2006/relationships/hyperlink" Target="consultantplus://offline/ref=27519676AABBA899232D062C836488BF34E248D18C5C66B298ABAA850022D6A54D8E84AE39433987D09161B7638A164D767DADA4C46B0226kEJ7I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27519676AABBA899232D062C836488BF34E248D18C5C66B298ABAA850022D6A54D8E84AB394132D287DE60EB25DB054F767DAFA0DBk6J0I" TargetMode="External"/><Relationship Id="rId20" Type="http://schemas.openxmlformats.org/officeDocument/2006/relationships/hyperlink" Target="consultantplus://offline/ref=27519676AABBA899232D062C836488BF34E248D18C5C66B298ABAA850022D6A54D8E84AC304B32D287DE60EB25DB054F767DAFA0DBk6J0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27519676AABBA899232D062C836488BF34E248D18C5C66B298ABAA850022D6A54D8E84AE39423185DF9161B7638A164D767DADA4C46B0226kEJ7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27519676AABBA899232D062C836488BF34E248D18C5C66B298ABAA850022D6A54D8E84AE39433984D79161B7638A164D767DADA4C46B0226kEJ7I" TargetMode="External"/><Relationship Id="rId10" Type="http://schemas.openxmlformats.org/officeDocument/2006/relationships/hyperlink" Target="consultantplus://offline/ref=27519676AABBA899232D062C836488BF34E248D18C5C66B298ABAA850022D6A54D8E84AE3942388FD49161B7638A164D767DADA4C46B0226kEJ7I" TargetMode="External"/><Relationship Id="rId19" Type="http://schemas.openxmlformats.org/officeDocument/2006/relationships/hyperlink" Target="consultantplus://offline/ref=27519676AABBA899232D062C836488BF34E248D18C5C66B298ABAA850022D6A54D8E84AE39433984D79161B7638A164D767DADA4C46B0226kEJ7I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27519676AABBA899232D062C836488BF34E248D18C5C66B298ABAA850022D6A54D8E84AD384132D287DE60EB25DB054F767DAFA0DBk6J0I" TargetMode="External"/><Relationship Id="rId14" Type="http://schemas.openxmlformats.org/officeDocument/2006/relationships/hyperlink" Target="consultantplus://offline/ref=27519676AABBA899232D062C836488BF34E248D18C5C66B298ABAA850022D6A54D8E84AE3942388FD29161B7638A164D767DADA4C46B0226kEJ7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2023F-8444-4AA1-B861-FB68F877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2047</Words>
  <Characters>11669</Characters>
  <Application>Microsoft Office Word</Application>
  <DocSecurity>0</DocSecurity>
  <Lines>97</Lines>
  <Paragraphs>27</Paragraphs>
  <ScaleCrop>false</ScaleCrop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